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6F6A0" w14:textId="77777777" w:rsidR="00F073C0" w:rsidRPr="008819FD" w:rsidRDefault="00F073C0" w:rsidP="00F073C0">
      <w:pPr>
        <w:spacing w:after="0"/>
        <w:rPr>
          <w:rFonts w:asciiTheme="majorBidi" w:hAnsiTheme="majorBidi" w:cstheme="majorBidi"/>
          <w:b/>
          <w:lang w:val="en-GB"/>
        </w:rPr>
      </w:pPr>
      <w:r>
        <w:rPr>
          <w:rFonts w:asciiTheme="majorBidi" w:hAnsiTheme="majorBidi" w:cstheme="majorBidi"/>
          <w:b/>
          <w:noProof/>
          <w:shd w:val="clear" w:color="auto" w:fill="FFFFFF"/>
        </w:rPr>
        <w:drawing>
          <wp:anchor distT="0" distB="0" distL="114300" distR="114300" simplePos="0" relativeHeight="251657216" behindDoc="0" locked="0" layoutInCell="1" allowOverlap="0" wp14:anchorId="06B72874" wp14:editId="3B979680">
            <wp:simplePos x="0" y="0"/>
            <wp:positionH relativeFrom="column">
              <wp:posOffset>715700</wp:posOffset>
            </wp:positionH>
            <wp:positionV relativeFrom="page">
              <wp:posOffset>1005840</wp:posOffset>
            </wp:positionV>
            <wp:extent cx="4350954" cy="877824"/>
            <wp:effectExtent l="0" t="0" r="0" b="0"/>
            <wp:wrapTopAndBottom/>
            <wp:docPr id="1738931887" name="Picture 1738931887" descr="BUiD-Logo-with-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BUiD-Logo-with-Website"/>
                    <pic:cNvPicPr>
                      <a:picLocks noChangeAspect="1" noChangeArrowheads="1"/>
                    </pic:cNvPicPr>
                  </pic:nvPicPr>
                  <pic:blipFill>
                    <a:blip r:embed="rId8">
                      <a:extLst>
                        <a:ext uri="{28A0092B-C50C-407E-A947-70E740481C1C}">
                          <a14:useLocalDpi xmlns:a14="http://schemas.microsoft.com/office/drawing/2010/main" val="0"/>
                        </a:ext>
                      </a:extLst>
                    </a:blip>
                    <a:srcRect b="21519"/>
                    <a:stretch>
                      <a:fillRect/>
                    </a:stretch>
                  </pic:blipFill>
                  <pic:spPr bwMode="auto">
                    <a:xfrm>
                      <a:off x="0" y="0"/>
                      <a:ext cx="4350954" cy="877824"/>
                    </a:xfrm>
                    <a:prstGeom prst="rect">
                      <a:avLst/>
                    </a:prstGeom>
                    <a:noFill/>
                    <a:ln>
                      <a:noFill/>
                    </a:ln>
                  </pic:spPr>
                </pic:pic>
              </a:graphicData>
            </a:graphic>
            <wp14:sizeRelV relativeFrom="margin">
              <wp14:pctHeight>0</wp14:pctHeight>
            </wp14:sizeRelV>
          </wp:anchor>
        </w:drawing>
      </w:r>
    </w:p>
    <w:p w14:paraId="4A802587" w14:textId="77777777" w:rsidR="00F073C0" w:rsidRPr="008819FD" w:rsidRDefault="00F073C0" w:rsidP="00F073C0">
      <w:pPr>
        <w:pStyle w:val="NormalWeb"/>
        <w:shd w:val="clear" w:color="auto" w:fill="FFFFFF"/>
        <w:spacing w:before="20" w:beforeAutospacing="0" w:after="20" w:afterAutospacing="0"/>
        <w:jc w:val="center"/>
        <w:rPr>
          <w:rFonts w:asciiTheme="majorBidi" w:hAnsiTheme="majorBidi" w:cstheme="majorBidi"/>
          <w:b/>
          <w:color w:val="222222"/>
        </w:rPr>
      </w:pPr>
      <w:r>
        <w:rPr>
          <w:rFonts w:asciiTheme="majorBidi" w:hAnsiTheme="majorBidi" w:cstheme="majorBidi"/>
          <w:b/>
          <w:color w:val="222222"/>
        </w:rPr>
        <w:t>Online Commercial Arbitration in the United Arab Emirates: The Need for Legal Regulations</w:t>
      </w:r>
    </w:p>
    <w:p w14:paraId="312C77DF" w14:textId="77777777" w:rsidR="00F073C0" w:rsidRPr="008819FD" w:rsidRDefault="00F073C0" w:rsidP="00F073C0">
      <w:pPr>
        <w:pStyle w:val="NormalWeb"/>
        <w:shd w:val="clear" w:color="auto" w:fill="FFFFFF"/>
        <w:spacing w:before="20" w:beforeAutospacing="0" w:after="20" w:afterAutospacing="0"/>
        <w:jc w:val="center"/>
        <w:rPr>
          <w:rFonts w:asciiTheme="majorBidi" w:hAnsiTheme="majorBidi" w:cstheme="majorBidi"/>
          <w:bCs/>
          <w:color w:val="222222"/>
        </w:rPr>
      </w:pPr>
    </w:p>
    <w:p w14:paraId="11FF78F6" w14:textId="77777777" w:rsidR="00F073C0" w:rsidRPr="008819FD" w:rsidRDefault="00F073C0" w:rsidP="00F073C0">
      <w:pPr>
        <w:pStyle w:val="NormalWeb"/>
        <w:shd w:val="clear" w:color="auto" w:fill="FFFFFF"/>
        <w:spacing w:before="20" w:beforeAutospacing="0" w:after="20" w:afterAutospacing="0"/>
        <w:jc w:val="center"/>
        <w:rPr>
          <w:rFonts w:asciiTheme="majorBidi" w:hAnsiTheme="majorBidi" w:cstheme="majorBidi"/>
          <w:bCs/>
          <w:color w:val="222222"/>
          <w:rtl/>
          <w:lang w:bidi="ar-JO"/>
        </w:rPr>
      </w:pPr>
    </w:p>
    <w:p w14:paraId="10D02BC5" w14:textId="77777777" w:rsidR="00F073C0" w:rsidRPr="008819FD" w:rsidRDefault="00F073C0" w:rsidP="00F073C0">
      <w:pPr>
        <w:pStyle w:val="NormalWeb"/>
        <w:shd w:val="clear" w:color="auto" w:fill="FFFFFF"/>
        <w:spacing w:before="20" w:beforeAutospacing="0" w:after="20" w:afterAutospacing="0"/>
        <w:jc w:val="center"/>
        <w:rPr>
          <w:rFonts w:asciiTheme="majorBidi" w:hAnsiTheme="majorBidi" w:cstheme="majorBidi"/>
          <w:bCs/>
          <w:color w:val="222222"/>
          <w:rtl/>
          <w:lang w:bidi="ar-JO"/>
        </w:rPr>
      </w:pPr>
      <w:r>
        <w:rPr>
          <w:rFonts w:asciiTheme="majorBidi" w:hAnsiTheme="majorBidi" w:cstheme="majorBidi"/>
          <w:bCs/>
          <w:color w:val="222222"/>
          <w:rtl/>
          <w:lang w:bidi="ar-JO"/>
        </w:rPr>
        <w:t xml:space="preserve">التحكيم التجاري عبر الانترنت في دولة الامارات العربية المتحدة: الحاجة الى تنظيمات قانونية </w:t>
      </w:r>
    </w:p>
    <w:p w14:paraId="1D2BD319" w14:textId="77777777" w:rsidR="00F073C0" w:rsidRPr="008819FD" w:rsidRDefault="00F073C0" w:rsidP="00F073C0">
      <w:pPr>
        <w:pStyle w:val="NormalWeb"/>
        <w:shd w:val="clear" w:color="auto" w:fill="FFFFFF"/>
        <w:spacing w:before="20" w:beforeAutospacing="0" w:after="20" w:afterAutospacing="0"/>
        <w:jc w:val="center"/>
        <w:rPr>
          <w:rFonts w:asciiTheme="majorBidi" w:hAnsiTheme="majorBidi" w:cstheme="majorBidi"/>
          <w:color w:val="222222"/>
        </w:rPr>
      </w:pPr>
      <w:r>
        <w:rPr>
          <w:rFonts w:asciiTheme="majorBidi" w:hAnsiTheme="majorBidi" w:cstheme="majorBidi"/>
          <w:b/>
          <w:bCs/>
          <w:color w:val="222222"/>
        </w:rPr>
        <w:t> </w:t>
      </w:r>
    </w:p>
    <w:p w14:paraId="354E3834" w14:textId="77777777" w:rsidR="00F073C0" w:rsidRPr="008819FD" w:rsidRDefault="00F073C0" w:rsidP="00F073C0">
      <w:pPr>
        <w:pStyle w:val="NormalWeb"/>
        <w:shd w:val="clear" w:color="auto" w:fill="FFFFFF"/>
        <w:spacing w:before="20" w:beforeAutospacing="0" w:after="20" w:afterAutospacing="0"/>
        <w:jc w:val="center"/>
        <w:rPr>
          <w:rFonts w:asciiTheme="majorBidi" w:hAnsiTheme="majorBidi" w:cstheme="majorBidi"/>
          <w:color w:val="222222"/>
        </w:rPr>
      </w:pPr>
      <w:r>
        <w:rPr>
          <w:rFonts w:asciiTheme="majorBidi" w:hAnsiTheme="majorBidi" w:cstheme="majorBidi"/>
          <w:b/>
          <w:bCs/>
          <w:color w:val="222222"/>
        </w:rPr>
        <w:t> </w:t>
      </w:r>
    </w:p>
    <w:p w14:paraId="14CEFFBB" w14:textId="77777777" w:rsidR="00F073C0" w:rsidRPr="008819FD" w:rsidRDefault="00F073C0" w:rsidP="00F073C0">
      <w:pPr>
        <w:spacing w:before="0" w:after="0"/>
        <w:ind w:left="1995" w:right="1985"/>
        <w:jc w:val="center"/>
        <w:rPr>
          <w:rFonts w:asciiTheme="majorBidi" w:hAnsiTheme="majorBidi" w:cstheme="majorBidi"/>
          <w:b/>
        </w:rPr>
      </w:pPr>
      <w:r>
        <w:rPr>
          <w:rFonts w:asciiTheme="majorBidi" w:hAnsiTheme="majorBidi" w:cstheme="majorBidi"/>
          <w:b/>
        </w:rPr>
        <w:t xml:space="preserve">By </w:t>
      </w:r>
    </w:p>
    <w:p w14:paraId="64355E6E" w14:textId="77777777" w:rsidR="00F073C0" w:rsidRPr="008819FD" w:rsidRDefault="00F073C0" w:rsidP="00F073C0">
      <w:pPr>
        <w:spacing w:before="0" w:after="0"/>
        <w:jc w:val="center"/>
        <w:rPr>
          <w:rFonts w:asciiTheme="majorBidi" w:hAnsiTheme="majorBidi" w:cstheme="majorBidi"/>
          <w:b/>
        </w:rPr>
      </w:pPr>
      <w:r>
        <w:rPr>
          <w:rFonts w:asciiTheme="majorBidi" w:hAnsiTheme="majorBidi" w:cstheme="majorBidi"/>
          <w:b/>
          <w:lang w:val="en-GB"/>
        </w:rPr>
        <w:t>ALI AHMED ALI BINSAYYAR</w:t>
      </w:r>
    </w:p>
    <w:p w14:paraId="6E749652" w14:textId="77777777" w:rsidR="00F073C0" w:rsidRPr="008819FD" w:rsidRDefault="00F073C0" w:rsidP="00F073C0">
      <w:pPr>
        <w:spacing w:before="0" w:after="0"/>
        <w:rPr>
          <w:rFonts w:asciiTheme="majorBidi" w:hAnsiTheme="majorBidi" w:cstheme="majorBidi"/>
          <w:b/>
        </w:rPr>
      </w:pPr>
    </w:p>
    <w:p w14:paraId="09B7CB5E" w14:textId="77777777" w:rsidR="00F073C0" w:rsidRPr="008819FD" w:rsidRDefault="00F073C0" w:rsidP="00F073C0">
      <w:pPr>
        <w:spacing w:after="0" w:line="240" w:lineRule="auto"/>
        <w:jc w:val="center"/>
        <w:rPr>
          <w:rFonts w:asciiTheme="majorBidi" w:hAnsiTheme="majorBidi" w:cstheme="majorBidi"/>
          <w:b/>
        </w:rPr>
      </w:pPr>
      <w:r>
        <w:rPr>
          <w:rFonts w:asciiTheme="majorBidi" w:hAnsiTheme="majorBidi" w:cstheme="majorBidi"/>
          <w:b/>
        </w:rPr>
        <w:t xml:space="preserve">A thesis submitted in partial fulfilment </w:t>
      </w:r>
    </w:p>
    <w:p w14:paraId="6B018720" w14:textId="77777777" w:rsidR="00F073C0" w:rsidRPr="008819FD" w:rsidRDefault="00F44719" w:rsidP="00F073C0">
      <w:pPr>
        <w:spacing w:after="0" w:line="240" w:lineRule="auto"/>
        <w:jc w:val="center"/>
        <w:rPr>
          <w:rFonts w:asciiTheme="majorBidi" w:hAnsiTheme="majorBidi" w:cstheme="majorBidi"/>
          <w:b/>
        </w:rPr>
      </w:pPr>
      <w:r>
        <w:rPr>
          <w:rFonts w:asciiTheme="majorBidi" w:hAnsiTheme="majorBidi" w:cstheme="majorBidi"/>
          <w:b/>
        </w:rPr>
        <w:t>of the requirements for the degree of law</w:t>
      </w:r>
    </w:p>
    <w:p w14:paraId="34A9B662" w14:textId="77777777" w:rsidR="00F073C0" w:rsidRPr="008819FD" w:rsidRDefault="00F073C0" w:rsidP="000021CA">
      <w:pPr>
        <w:pStyle w:val="Nameofprogramme"/>
        <w:rPr>
          <w:sz w:val="24"/>
          <w:szCs w:val="24"/>
        </w:rPr>
      </w:pPr>
      <w:r>
        <w:rPr>
          <w:sz w:val="24"/>
          <w:szCs w:val="24"/>
        </w:rPr>
        <w:t>DOCTOR of PHILOSOPHY in BUSINESS LAW</w:t>
      </w:r>
    </w:p>
    <w:p w14:paraId="6DC6ACD5" w14:textId="77777777" w:rsidR="00F073C0" w:rsidRPr="008819FD" w:rsidRDefault="00055880" w:rsidP="000021CA">
      <w:pPr>
        <w:pStyle w:val="Nameofprogramme"/>
        <w:rPr>
          <w:sz w:val="24"/>
          <w:szCs w:val="24"/>
        </w:rPr>
      </w:pPr>
      <w:r>
        <w:rPr>
          <w:sz w:val="24"/>
          <w:szCs w:val="24"/>
        </w:rPr>
        <w:t>at</w:t>
      </w:r>
    </w:p>
    <w:p w14:paraId="79E16268" w14:textId="77777777" w:rsidR="00F073C0" w:rsidRPr="008819FD" w:rsidRDefault="00F073C0" w:rsidP="000021CA">
      <w:pPr>
        <w:pStyle w:val="Nameofprogramme"/>
        <w:rPr>
          <w:sz w:val="24"/>
          <w:szCs w:val="24"/>
        </w:rPr>
      </w:pPr>
      <w:r>
        <w:rPr>
          <w:sz w:val="24"/>
          <w:szCs w:val="24"/>
        </w:rPr>
        <w:t>The British University in Dubai</w:t>
      </w:r>
    </w:p>
    <w:p w14:paraId="568939DF" w14:textId="77777777" w:rsidR="00F073C0" w:rsidRPr="008819FD" w:rsidRDefault="00F073C0" w:rsidP="000021CA">
      <w:pPr>
        <w:pStyle w:val="Nameofprogramme"/>
        <w:rPr>
          <w:sz w:val="24"/>
          <w:szCs w:val="24"/>
        </w:rPr>
      </w:pPr>
    </w:p>
    <w:p w14:paraId="697E1738" w14:textId="77777777" w:rsidR="00F073C0" w:rsidRPr="008819FD" w:rsidRDefault="00586FD0" w:rsidP="000021CA">
      <w:pPr>
        <w:pStyle w:val="Nameofprogramme"/>
        <w:rPr>
          <w:sz w:val="24"/>
          <w:szCs w:val="24"/>
        </w:rPr>
      </w:pPr>
      <w:r>
        <w:rPr>
          <w:sz w:val="24"/>
          <w:szCs w:val="24"/>
        </w:rPr>
        <w:t>JAN. 2026</w:t>
      </w:r>
    </w:p>
    <w:p w14:paraId="254DBF2C" w14:textId="77777777" w:rsidR="00F073C0" w:rsidRPr="008819FD" w:rsidRDefault="00F073C0" w:rsidP="00F073C0">
      <w:pPr>
        <w:spacing w:before="0" w:after="0" w:line="240" w:lineRule="auto"/>
        <w:jc w:val="center"/>
        <w:rPr>
          <w:rFonts w:asciiTheme="majorBidi" w:hAnsiTheme="majorBidi" w:cstheme="majorBidi"/>
          <w:b/>
        </w:rPr>
      </w:pPr>
    </w:p>
    <w:p w14:paraId="32ABD02E" w14:textId="77777777" w:rsidR="00F073C0" w:rsidRPr="008819FD" w:rsidRDefault="00F073C0" w:rsidP="00F073C0">
      <w:pPr>
        <w:spacing w:before="0" w:after="0" w:line="240" w:lineRule="auto"/>
        <w:ind w:left="142"/>
        <w:jc w:val="center"/>
        <w:rPr>
          <w:rFonts w:asciiTheme="majorBidi" w:hAnsiTheme="majorBidi" w:cstheme="majorBidi"/>
          <w:b/>
        </w:rPr>
      </w:pPr>
    </w:p>
    <w:p w14:paraId="045E3C59" w14:textId="77777777" w:rsidR="00F073C0" w:rsidRPr="008819FD" w:rsidRDefault="00F073C0" w:rsidP="00F073C0">
      <w:pPr>
        <w:spacing w:after="0"/>
        <w:jc w:val="center"/>
        <w:rPr>
          <w:rFonts w:asciiTheme="majorBidi" w:hAnsiTheme="majorBidi" w:cstheme="majorBidi"/>
          <w:b/>
          <w:lang w:val="en-GB"/>
        </w:rPr>
      </w:pPr>
    </w:p>
    <w:p w14:paraId="2E3DC852" w14:textId="77777777" w:rsidR="00F073C0" w:rsidRPr="008819FD" w:rsidRDefault="00F073C0" w:rsidP="00F073C0">
      <w:pPr>
        <w:spacing w:before="0" w:after="160" w:line="259" w:lineRule="auto"/>
        <w:rPr>
          <w:rFonts w:asciiTheme="majorBidi" w:hAnsiTheme="majorBidi" w:cstheme="majorBidi"/>
          <w:b/>
          <w:lang w:val="en-GB"/>
        </w:rPr>
      </w:pPr>
      <w:r>
        <w:rPr>
          <w:rFonts w:asciiTheme="majorBidi" w:hAnsiTheme="majorBidi" w:cstheme="majorBidi"/>
          <w:b/>
          <w:lang w:val="en-GB"/>
        </w:rPr>
        <w:br w:type="page"/>
      </w:r>
    </w:p>
    <w:p w14:paraId="133ACF27" w14:textId="77777777" w:rsidR="00F073C0" w:rsidRPr="008819FD" w:rsidRDefault="00F073C0" w:rsidP="00055880">
      <w:pPr>
        <w:spacing w:after="6"/>
        <w:ind w:left="1462" w:hanging="328"/>
        <w:jc w:val="center"/>
        <w:rPr>
          <w:rFonts w:asciiTheme="majorBidi" w:hAnsiTheme="majorBidi" w:cstheme="majorBidi"/>
          <w:bCs/>
        </w:rPr>
      </w:pPr>
      <w:r>
        <w:rPr>
          <w:rFonts w:asciiTheme="majorBidi" w:hAnsiTheme="majorBidi" w:cstheme="majorBidi"/>
          <w:b/>
          <w:noProof/>
          <w:shd w:val="clear" w:color="auto" w:fill="FFFFFF"/>
        </w:rPr>
        <w:lastRenderedPageBreak/>
        <w:drawing>
          <wp:anchor distT="0" distB="0" distL="114300" distR="114300" simplePos="0" relativeHeight="251659264" behindDoc="0" locked="0" layoutInCell="1" allowOverlap="0" wp14:anchorId="4175745B" wp14:editId="51FDA851">
            <wp:simplePos x="0" y="0"/>
            <wp:positionH relativeFrom="column">
              <wp:posOffset>715010</wp:posOffset>
            </wp:positionH>
            <wp:positionV relativeFrom="page">
              <wp:posOffset>1082040</wp:posOffset>
            </wp:positionV>
            <wp:extent cx="4350954" cy="877824"/>
            <wp:effectExtent l="0" t="0" r="0" b="0"/>
            <wp:wrapTopAndBottom/>
            <wp:docPr id="8" name="Picture 8" descr="BUiD-Logo-with-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BUiD-Logo-with-Website"/>
                    <pic:cNvPicPr>
                      <a:picLocks noChangeAspect="1" noChangeArrowheads="1"/>
                    </pic:cNvPicPr>
                  </pic:nvPicPr>
                  <pic:blipFill>
                    <a:blip r:embed="rId8">
                      <a:extLst>
                        <a:ext uri="{28A0092B-C50C-407E-A947-70E740481C1C}">
                          <a14:useLocalDpi xmlns:a14="http://schemas.microsoft.com/office/drawing/2010/main" val="0"/>
                        </a:ext>
                      </a:extLst>
                    </a:blip>
                    <a:srcRect b="21519"/>
                    <a:stretch>
                      <a:fillRect/>
                    </a:stretch>
                  </pic:blipFill>
                  <pic:spPr bwMode="auto">
                    <a:xfrm>
                      <a:off x="0" y="0"/>
                      <a:ext cx="4350954" cy="877824"/>
                    </a:xfrm>
                    <a:prstGeom prst="rect">
                      <a:avLst/>
                    </a:prstGeom>
                    <a:noFill/>
                    <a:ln>
                      <a:noFill/>
                    </a:ln>
                  </pic:spPr>
                </pic:pic>
              </a:graphicData>
            </a:graphic>
            <wp14:sizeRelV relativeFrom="margin">
              <wp14:pctHeight>0</wp14:pctHeight>
            </wp14:sizeRelV>
          </wp:anchor>
        </w:drawing>
      </w:r>
    </w:p>
    <w:p w14:paraId="5229CB15" w14:textId="77777777" w:rsidR="00F073C0" w:rsidRPr="008819FD" w:rsidRDefault="00F073C0" w:rsidP="00055880">
      <w:pPr>
        <w:pStyle w:val="NormalWeb"/>
        <w:shd w:val="clear" w:color="auto" w:fill="FFFFFF"/>
        <w:spacing w:before="20" w:beforeAutospacing="0" w:after="20" w:afterAutospacing="0"/>
        <w:jc w:val="center"/>
        <w:rPr>
          <w:rFonts w:asciiTheme="majorBidi" w:hAnsiTheme="majorBidi" w:cstheme="majorBidi"/>
          <w:b/>
          <w:color w:val="222222"/>
        </w:rPr>
      </w:pPr>
      <w:r>
        <w:rPr>
          <w:rFonts w:asciiTheme="majorBidi" w:hAnsiTheme="majorBidi" w:cstheme="majorBidi"/>
          <w:b/>
          <w:color w:val="222222"/>
        </w:rPr>
        <w:t>Online Commercial Arbitration in the United Arab Emirates: The Need for Legal Regulations</w:t>
      </w:r>
    </w:p>
    <w:p w14:paraId="2860BC26" w14:textId="77777777" w:rsidR="00F073C0" w:rsidRPr="008819FD" w:rsidRDefault="00F073C0" w:rsidP="00055880">
      <w:pPr>
        <w:pStyle w:val="NormalWeb"/>
        <w:shd w:val="clear" w:color="auto" w:fill="FFFFFF"/>
        <w:spacing w:before="20" w:beforeAutospacing="0" w:after="20" w:afterAutospacing="0"/>
        <w:jc w:val="center"/>
        <w:rPr>
          <w:rFonts w:asciiTheme="majorBidi" w:hAnsiTheme="majorBidi" w:cstheme="majorBidi"/>
          <w:b/>
          <w:color w:val="222222"/>
        </w:rPr>
      </w:pPr>
    </w:p>
    <w:p w14:paraId="221EB747" w14:textId="77777777" w:rsidR="00F073C0" w:rsidRPr="008819FD" w:rsidRDefault="00F073C0" w:rsidP="00055880">
      <w:pPr>
        <w:pStyle w:val="NormalWeb"/>
        <w:shd w:val="clear" w:color="auto" w:fill="FFFFFF"/>
        <w:spacing w:before="20" w:beforeAutospacing="0" w:after="20" w:afterAutospacing="0"/>
        <w:jc w:val="center"/>
        <w:rPr>
          <w:rFonts w:asciiTheme="majorBidi" w:hAnsiTheme="majorBidi" w:cstheme="majorBidi"/>
          <w:bCs/>
          <w:color w:val="222222"/>
          <w:rtl/>
          <w:lang w:bidi="ar-JO"/>
        </w:rPr>
      </w:pPr>
      <w:r>
        <w:rPr>
          <w:rFonts w:asciiTheme="majorBidi" w:hAnsiTheme="majorBidi" w:cstheme="majorBidi"/>
          <w:bCs/>
          <w:color w:val="222222"/>
          <w:rtl/>
          <w:lang w:bidi="ar-JO"/>
        </w:rPr>
        <w:t>التحكيم التجاري عبر الانترنت في دولة الامارات العربية المتحدة: الحاجة الى تنظيمات قانونية</w:t>
      </w:r>
    </w:p>
    <w:p w14:paraId="0F69DE7C" w14:textId="77777777" w:rsidR="00F073C0" w:rsidRPr="008819FD" w:rsidRDefault="00F073C0" w:rsidP="00F073C0">
      <w:pPr>
        <w:pStyle w:val="NormalWeb"/>
        <w:shd w:val="clear" w:color="auto" w:fill="FFFFFF"/>
        <w:spacing w:before="20" w:beforeAutospacing="0" w:after="20" w:afterAutospacing="0"/>
        <w:jc w:val="center"/>
        <w:rPr>
          <w:rFonts w:asciiTheme="majorBidi" w:hAnsiTheme="majorBidi" w:cstheme="majorBidi"/>
          <w:color w:val="222222"/>
        </w:rPr>
      </w:pPr>
      <w:r>
        <w:rPr>
          <w:rFonts w:asciiTheme="majorBidi" w:hAnsiTheme="majorBidi" w:cstheme="majorBidi"/>
          <w:bCs/>
          <w:color w:val="222222"/>
          <w:lang w:bidi="ar-JO"/>
        </w:rPr>
        <w:t> </w:t>
      </w:r>
      <w:r>
        <w:rPr>
          <w:rFonts w:asciiTheme="majorBidi" w:hAnsiTheme="majorBidi" w:cstheme="majorBidi"/>
          <w:b/>
          <w:bCs/>
          <w:color w:val="222222"/>
        </w:rPr>
        <w:t> </w:t>
      </w:r>
    </w:p>
    <w:p w14:paraId="6B88FDA8" w14:textId="77777777" w:rsidR="00F073C0" w:rsidRPr="008819FD" w:rsidRDefault="00055880" w:rsidP="00F073C0">
      <w:pPr>
        <w:spacing w:before="0" w:after="0"/>
        <w:ind w:left="1995" w:right="1985"/>
        <w:jc w:val="center"/>
        <w:rPr>
          <w:rFonts w:asciiTheme="majorBidi" w:hAnsiTheme="majorBidi" w:cstheme="majorBidi"/>
          <w:b/>
        </w:rPr>
      </w:pPr>
      <w:r>
        <w:rPr>
          <w:rFonts w:asciiTheme="majorBidi" w:hAnsiTheme="majorBidi" w:cstheme="majorBidi"/>
          <w:b/>
        </w:rPr>
        <w:t xml:space="preserve">by </w:t>
      </w:r>
    </w:p>
    <w:p w14:paraId="0178023B" w14:textId="77777777" w:rsidR="00055880" w:rsidRPr="008819FD" w:rsidRDefault="00055880" w:rsidP="00055880">
      <w:pPr>
        <w:spacing w:before="0" w:after="0"/>
        <w:jc w:val="center"/>
        <w:rPr>
          <w:rFonts w:asciiTheme="majorBidi" w:hAnsiTheme="majorBidi" w:cstheme="majorBidi"/>
          <w:b/>
        </w:rPr>
      </w:pPr>
      <w:r>
        <w:rPr>
          <w:rFonts w:asciiTheme="majorBidi" w:hAnsiTheme="majorBidi" w:cstheme="majorBidi"/>
          <w:b/>
          <w:lang w:val="en-GB"/>
        </w:rPr>
        <w:t>ALI AHMED ALI BINSAYYAR</w:t>
      </w:r>
    </w:p>
    <w:p w14:paraId="73FA4FFF" w14:textId="77777777" w:rsidR="00F073C0" w:rsidRPr="008819FD" w:rsidRDefault="00F073C0" w:rsidP="00F073C0">
      <w:pPr>
        <w:spacing w:after="0" w:line="240" w:lineRule="auto"/>
        <w:jc w:val="center"/>
        <w:rPr>
          <w:rFonts w:asciiTheme="majorBidi" w:hAnsiTheme="majorBidi" w:cstheme="majorBidi"/>
          <w:b/>
        </w:rPr>
      </w:pPr>
      <w:r>
        <w:rPr>
          <w:rFonts w:asciiTheme="majorBidi" w:hAnsiTheme="majorBidi" w:cstheme="majorBidi"/>
          <w:b/>
        </w:rPr>
        <w:t>A thesis submitted to the Faculty of Law</w:t>
      </w:r>
    </w:p>
    <w:p w14:paraId="64DBDD2D" w14:textId="77777777" w:rsidR="00F073C0" w:rsidRPr="008819FD" w:rsidRDefault="00337FA4" w:rsidP="00F073C0">
      <w:pPr>
        <w:spacing w:after="0" w:line="240" w:lineRule="auto"/>
        <w:jc w:val="center"/>
        <w:rPr>
          <w:rFonts w:asciiTheme="majorBidi" w:hAnsiTheme="majorBidi" w:cstheme="majorBidi"/>
          <w:b/>
        </w:rPr>
      </w:pPr>
      <w:r>
        <w:rPr>
          <w:rFonts w:asciiTheme="majorBidi" w:hAnsiTheme="majorBidi" w:cstheme="majorBidi"/>
          <w:b/>
        </w:rPr>
        <w:t xml:space="preserve">In partial fulfilment of the requirements for the degree of </w:t>
      </w:r>
    </w:p>
    <w:p w14:paraId="61C0F02C" w14:textId="77777777" w:rsidR="00055880" w:rsidRPr="008819FD" w:rsidRDefault="00055880" w:rsidP="00055880">
      <w:pPr>
        <w:pStyle w:val="Nameofprogramme"/>
        <w:rPr>
          <w:sz w:val="24"/>
          <w:szCs w:val="24"/>
        </w:rPr>
      </w:pPr>
      <w:r>
        <w:rPr>
          <w:sz w:val="24"/>
          <w:szCs w:val="24"/>
        </w:rPr>
        <w:t>DOCTOR of PHILOSOPHY in BUSINESS LAW</w:t>
      </w:r>
    </w:p>
    <w:p w14:paraId="41CAA63F" w14:textId="77777777" w:rsidR="00F073C0" w:rsidRPr="008819FD" w:rsidRDefault="00055880" w:rsidP="000021CA">
      <w:pPr>
        <w:pStyle w:val="Nameofprogramme"/>
        <w:rPr>
          <w:sz w:val="24"/>
          <w:szCs w:val="24"/>
        </w:rPr>
      </w:pPr>
      <w:r>
        <w:rPr>
          <w:sz w:val="24"/>
          <w:szCs w:val="24"/>
        </w:rPr>
        <w:t>at</w:t>
      </w:r>
    </w:p>
    <w:p w14:paraId="165885B2" w14:textId="77777777" w:rsidR="00F073C0" w:rsidRPr="008819FD" w:rsidRDefault="00F073C0" w:rsidP="000021CA">
      <w:pPr>
        <w:pStyle w:val="Nameofprogramme"/>
        <w:rPr>
          <w:sz w:val="24"/>
          <w:szCs w:val="24"/>
        </w:rPr>
      </w:pPr>
      <w:r>
        <w:rPr>
          <w:sz w:val="24"/>
          <w:szCs w:val="24"/>
        </w:rPr>
        <w:t>The British University in Dubai</w:t>
      </w:r>
    </w:p>
    <w:p w14:paraId="5D0DCA17" w14:textId="77777777" w:rsidR="00F073C0" w:rsidRPr="008819FD" w:rsidRDefault="00586FD0" w:rsidP="000021CA">
      <w:pPr>
        <w:pStyle w:val="Nameofprogramme"/>
        <w:rPr>
          <w:sz w:val="24"/>
          <w:szCs w:val="24"/>
        </w:rPr>
      </w:pPr>
      <w:r>
        <w:rPr>
          <w:sz w:val="24"/>
          <w:szCs w:val="24"/>
        </w:rPr>
        <w:t>JAN. 2026</w:t>
      </w:r>
    </w:p>
    <w:p w14:paraId="750EB8AE" w14:textId="77777777" w:rsidR="00F073C0" w:rsidRPr="008819FD" w:rsidRDefault="00F073C0" w:rsidP="00F073C0">
      <w:pPr>
        <w:spacing w:before="0" w:after="0" w:line="240" w:lineRule="auto"/>
        <w:jc w:val="center"/>
        <w:rPr>
          <w:rFonts w:asciiTheme="majorBidi" w:hAnsiTheme="majorBidi" w:cstheme="majorBidi"/>
          <w:b/>
        </w:rPr>
      </w:pPr>
    </w:p>
    <w:p w14:paraId="50CFF3BB" w14:textId="77777777" w:rsidR="00F073C0" w:rsidRPr="008819FD" w:rsidRDefault="00F073C0" w:rsidP="00F073C0">
      <w:pPr>
        <w:spacing w:before="0" w:after="0" w:line="240" w:lineRule="auto"/>
        <w:jc w:val="center"/>
        <w:rPr>
          <w:rFonts w:asciiTheme="majorBidi" w:hAnsiTheme="majorBidi" w:cstheme="majorBidi"/>
          <w:bCs/>
        </w:rPr>
      </w:pPr>
      <w:r>
        <w:rPr>
          <w:rFonts w:asciiTheme="majorBidi" w:hAnsiTheme="majorBidi" w:cstheme="majorBidi"/>
          <w:b/>
        </w:rPr>
        <w:t>Dr. Abba Ali Kolo</w:t>
      </w:r>
    </w:p>
    <w:p w14:paraId="54C624F9" w14:textId="77777777" w:rsidR="00F073C0" w:rsidRPr="008819FD" w:rsidRDefault="00F073C0" w:rsidP="00F073C0">
      <w:pPr>
        <w:spacing w:before="0" w:after="0" w:line="240" w:lineRule="auto"/>
        <w:ind w:left="142"/>
        <w:jc w:val="center"/>
        <w:rPr>
          <w:rFonts w:asciiTheme="majorBidi" w:hAnsiTheme="majorBidi" w:cstheme="majorBidi"/>
          <w:b/>
        </w:rPr>
      </w:pPr>
    </w:p>
    <w:p w14:paraId="50854EB4" w14:textId="77777777" w:rsidR="00F073C0" w:rsidRPr="008819FD" w:rsidRDefault="00F073C0" w:rsidP="00F073C0">
      <w:pPr>
        <w:spacing w:before="0" w:after="0" w:line="240" w:lineRule="auto"/>
        <w:ind w:left="142"/>
        <w:rPr>
          <w:rFonts w:asciiTheme="majorBidi" w:hAnsiTheme="majorBidi" w:cstheme="majorBidi"/>
          <w:b/>
        </w:rPr>
      </w:pPr>
      <w:r>
        <w:rPr>
          <w:rFonts w:asciiTheme="majorBidi" w:hAnsiTheme="majorBidi" w:cstheme="majorBidi"/>
          <w:b/>
        </w:rPr>
        <w:t>Approved for award:</w:t>
      </w:r>
    </w:p>
    <w:p w14:paraId="25293EF6" w14:textId="77777777" w:rsidR="00F073C0" w:rsidRPr="008819FD" w:rsidRDefault="00F073C0" w:rsidP="00F073C0">
      <w:pPr>
        <w:autoSpaceDE w:val="0"/>
        <w:autoSpaceDN w:val="0"/>
        <w:adjustRightInd w:val="0"/>
        <w:spacing w:after="0" w:line="240" w:lineRule="auto"/>
        <w:rPr>
          <w:rFonts w:asciiTheme="majorBidi" w:hAnsiTheme="majorBidi" w:cstheme="majorBidi"/>
          <w:bCs/>
          <w:color w:val="000000"/>
          <w:lang w:val="en-GB"/>
        </w:rPr>
      </w:pPr>
      <w:r>
        <w:rPr>
          <w:rFonts w:asciiTheme="majorBidi" w:hAnsiTheme="majorBidi" w:cstheme="majorBidi"/>
          <w:lang w:val="en-GB"/>
        </w:rPr>
        <w:t>___________________________</w:t>
      </w:r>
      <w:r>
        <w:rPr>
          <w:rFonts w:asciiTheme="majorBidi" w:hAnsiTheme="majorBidi" w:cstheme="majorBidi"/>
          <w:lang w:val="en-GB"/>
        </w:rPr>
        <w:tab/>
        <w:t xml:space="preserve">            </w:t>
      </w:r>
      <w:r>
        <w:rPr>
          <w:rFonts w:asciiTheme="majorBidi" w:hAnsiTheme="majorBidi" w:cstheme="majorBidi"/>
          <w:lang w:val="en-GB"/>
        </w:rPr>
        <w:tab/>
        <w:t>____________________________</w:t>
      </w:r>
    </w:p>
    <w:p w14:paraId="3A61289A" w14:textId="77777777" w:rsidR="00F073C0" w:rsidRPr="008819FD" w:rsidRDefault="00F073C0" w:rsidP="00F073C0">
      <w:pPr>
        <w:spacing w:before="0" w:after="0" w:line="240" w:lineRule="auto"/>
        <w:rPr>
          <w:rFonts w:asciiTheme="majorBidi" w:eastAsia="Calibri" w:hAnsiTheme="majorBidi" w:cstheme="majorBidi"/>
          <w:color w:val="222222"/>
          <w:shd w:val="clear" w:color="auto" w:fill="FFFFFF"/>
        </w:rPr>
      </w:pPr>
      <w:r>
        <w:rPr>
          <w:rFonts w:asciiTheme="majorBidi" w:hAnsiTheme="majorBidi" w:cstheme="majorBidi"/>
          <w:lang w:val="en-GB"/>
        </w:rPr>
        <w:t>Name</w:t>
      </w:r>
      <w:r>
        <w:rPr>
          <w:rFonts w:asciiTheme="majorBidi" w:hAnsiTheme="majorBidi" w:cstheme="majorBidi"/>
          <w:lang w:val="en-GB"/>
        </w:rPr>
        <w:tab/>
        <w:t xml:space="preserve">     </w:t>
      </w:r>
      <w:r>
        <w:rPr>
          <w:rFonts w:asciiTheme="majorBidi" w:hAnsiTheme="majorBidi" w:cstheme="majorBidi"/>
          <w:lang w:val="en-GB"/>
        </w:rPr>
        <w:tab/>
        <w:t xml:space="preserve">            </w:t>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rPr>
        <w:t>Name</w:t>
      </w:r>
    </w:p>
    <w:p w14:paraId="3C5F6F7E" w14:textId="77777777" w:rsidR="00F073C0" w:rsidRPr="008819FD" w:rsidRDefault="00F073C0" w:rsidP="00F073C0">
      <w:pPr>
        <w:autoSpaceDE w:val="0"/>
        <w:autoSpaceDN w:val="0"/>
        <w:adjustRightInd w:val="0"/>
        <w:spacing w:before="0" w:after="0" w:line="240" w:lineRule="auto"/>
        <w:rPr>
          <w:rFonts w:asciiTheme="majorBidi" w:hAnsiTheme="majorBidi" w:cstheme="majorBidi"/>
          <w:color w:val="000000"/>
          <w:lang w:val="en-GB"/>
        </w:rPr>
      </w:pPr>
      <w:r>
        <w:rPr>
          <w:rFonts w:asciiTheme="majorBidi" w:hAnsiTheme="majorBidi" w:cstheme="majorBidi"/>
          <w:lang w:val="en-GB"/>
        </w:rPr>
        <w:t>Designation</w:t>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lang w:val="en-GB"/>
        </w:rPr>
        <w:tab/>
        <w:t xml:space="preserve">       </w:t>
      </w:r>
      <w:r>
        <w:rPr>
          <w:rFonts w:asciiTheme="majorBidi" w:hAnsiTheme="majorBidi" w:cstheme="majorBidi"/>
          <w:lang w:val="en-GB"/>
        </w:rPr>
        <w:tab/>
        <w:t xml:space="preserve">            Designation   </w:t>
      </w:r>
    </w:p>
    <w:p w14:paraId="3444FC8E" w14:textId="77777777" w:rsidR="00F073C0" w:rsidRPr="008819FD" w:rsidRDefault="00F073C0" w:rsidP="00F073C0">
      <w:pPr>
        <w:autoSpaceDE w:val="0"/>
        <w:autoSpaceDN w:val="0"/>
        <w:adjustRightInd w:val="0"/>
        <w:spacing w:after="0"/>
        <w:rPr>
          <w:rFonts w:asciiTheme="majorBidi" w:hAnsiTheme="majorBidi" w:cstheme="majorBidi"/>
          <w:lang w:val="en-GB"/>
        </w:rPr>
      </w:pPr>
      <w:r>
        <w:rPr>
          <w:rFonts w:asciiTheme="majorBidi" w:hAnsiTheme="majorBidi" w:cstheme="majorBidi"/>
          <w:lang w:val="en-GB"/>
        </w:rPr>
        <w:t>___________________________</w:t>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lang w:val="en-GB"/>
        </w:rPr>
        <w:tab/>
        <w:t>____________________________</w:t>
      </w:r>
    </w:p>
    <w:p w14:paraId="5599ADE0" w14:textId="77777777" w:rsidR="00F073C0" w:rsidRPr="008819FD" w:rsidRDefault="00F073C0" w:rsidP="00F073C0">
      <w:pPr>
        <w:spacing w:before="0" w:after="0" w:line="240" w:lineRule="auto"/>
        <w:rPr>
          <w:rFonts w:asciiTheme="majorBidi" w:eastAsia="Calibri" w:hAnsiTheme="majorBidi" w:cstheme="majorBidi"/>
          <w:color w:val="222222"/>
          <w:shd w:val="clear" w:color="auto" w:fill="FFFFFF"/>
        </w:rPr>
      </w:pPr>
      <w:r>
        <w:rPr>
          <w:rFonts w:asciiTheme="majorBidi" w:hAnsiTheme="majorBidi" w:cstheme="majorBidi"/>
          <w:lang w:val="en-GB"/>
        </w:rPr>
        <w:t>Name</w:t>
      </w:r>
      <w:r>
        <w:rPr>
          <w:rFonts w:asciiTheme="majorBidi" w:hAnsiTheme="majorBidi" w:cstheme="majorBidi"/>
          <w:lang w:val="en-GB"/>
        </w:rPr>
        <w:tab/>
        <w:t xml:space="preserve">     </w:t>
      </w:r>
      <w:r>
        <w:rPr>
          <w:rFonts w:asciiTheme="majorBidi" w:hAnsiTheme="majorBidi" w:cstheme="majorBidi"/>
          <w:lang w:val="en-GB"/>
        </w:rPr>
        <w:tab/>
        <w:t xml:space="preserve">            </w:t>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rPr>
        <w:t>Name</w:t>
      </w:r>
    </w:p>
    <w:p w14:paraId="03B03F7F" w14:textId="77777777" w:rsidR="00F073C0" w:rsidRPr="008819FD" w:rsidRDefault="00F073C0" w:rsidP="00F073C0">
      <w:pPr>
        <w:autoSpaceDE w:val="0"/>
        <w:autoSpaceDN w:val="0"/>
        <w:adjustRightInd w:val="0"/>
        <w:spacing w:before="0" w:after="0" w:line="240" w:lineRule="auto"/>
        <w:rPr>
          <w:rFonts w:asciiTheme="majorBidi" w:hAnsiTheme="majorBidi" w:cstheme="majorBidi"/>
          <w:color w:val="000000"/>
          <w:lang w:val="en-GB"/>
        </w:rPr>
      </w:pPr>
      <w:r>
        <w:rPr>
          <w:rFonts w:asciiTheme="majorBidi" w:hAnsiTheme="majorBidi" w:cstheme="majorBidi"/>
          <w:lang w:val="en-GB"/>
        </w:rPr>
        <w:t>Designation</w:t>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lang w:val="en-GB"/>
        </w:rPr>
        <w:tab/>
      </w:r>
      <w:r>
        <w:rPr>
          <w:rFonts w:asciiTheme="majorBidi" w:hAnsiTheme="majorBidi" w:cstheme="majorBidi"/>
          <w:lang w:val="en-GB"/>
        </w:rPr>
        <w:tab/>
        <w:t xml:space="preserve">       </w:t>
      </w:r>
      <w:r>
        <w:rPr>
          <w:rFonts w:asciiTheme="majorBidi" w:hAnsiTheme="majorBidi" w:cstheme="majorBidi"/>
          <w:lang w:val="en-GB"/>
        </w:rPr>
        <w:tab/>
        <w:t xml:space="preserve">            Designation   </w:t>
      </w:r>
    </w:p>
    <w:p w14:paraId="1B80ABCD" w14:textId="77777777" w:rsidR="00F073C0" w:rsidRPr="008819FD" w:rsidRDefault="00F073C0" w:rsidP="00F073C0">
      <w:pPr>
        <w:autoSpaceDE w:val="0"/>
        <w:autoSpaceDN w:val="0"/>
        <w:adjustRightInd w:val="0"/>
        <w:spacing w:before="0" w:after="0" w:line="240" w:lineRule="auto"/>
        <w:rPr>
          <w:rFonts w:asciiTheme="majorBidi" w:hAnsiTheme="majorBidi" w:cstheme="majorBidi"/>
          <w:color w:val="000000"/>
          <w:lang w:val="en-GB"/>
        </w:rPr>
      </w:pPr>
    </w:p>
    <w:p w14:paraId="324BA7F2" w14:textId="77777777" w:rsidR="00F073C0" w:rsidRPr="008819FD" w:rsidRDefault="00F073C0" w:rsidP="00F073C0">
      <w:pPr>
        <w:spacing w:after="3"/>
        <w:ind w:left="-5" w:hanging="10"/>
        <w:rPr>
          <w:rFonts w:asciiTheme="majorBidi" w:hAnsiTheme="majorBidi" w:cstheme="majorBidi"/>
        </w:rPr>
      </w:pPr>
      <w:r>
        <w:rPr>
          <w:rFonts w:asciiTheme="majorBidi" w:hAnsiTheme="majorBidi" w:cstheme="majorBidi"/>
        </w:rPr>
        <w:t>Date:_________________</w:t>
      </w:r>
    </w:p>
    <w:p w14:paraId="1B76CBE7" w14:textId="77777777" w:rsidR="00F44719" w:rsidRPr="008819FD" w:rsidRDefault="00F44719" w:rsidP="00F073C0">
      <w:pPr>
        <w:spacing w:after="3"/>
        <w:ind w:left="-5" w:hanging="10"/>
        <w:rPr>
          <w:rFonts w:asciiTheme="majorBidi" w:hAnsiTheme="majorBidi" w:cstheme="majorBidi"/>
        </w:rPr>
      </w:pPr>
    </w:p>
    <w:p w14:paraId="3779205B" w14:textId="77777777" w:rsidR="00145FA6" w:rsidRDefault="00145FA6" w:rsidP="000B42A1">
      <w:pPr>
        <w:spacing w:after="3"/>
        <w:rPr>
          <w:rFonts w:asciiTheme="majorBidi" w:hAnsiTheme="majorBidi" w:cstheme="majorBidi"/>
          <w:u w:val="single"/>
        </w:rPr>
      </w:pPr>
    </w:p>
    <w:p w14:paraId="3CDB08D1" w14:textId="77777777" w:rsidR="00F5354A" w:rsidRDefault="00F5354A" w:rsidP="000B42A1">
      <w:pPr>
        <w:spacing w:after="3"/>
        <w:rPr>
          <w:rFonts w:asciiTheme="majorBidi" w:hAnsiTheme="majorBidi" w:cstheme="majorBidi"/>
          <w:u w:val="single"/>
        </w:rPr>
      </w:pPr>
    </w:p>
    <w:p w14:paraId="39EE17E3" w14:textId="77777777" w:rsidR="00F5354A" w:rsidRPr="00145FA6" w:rsidRDefault="00F5354A" w:rsidP="000B42A1">
      <w:pPr>
        <w:spacing w:after="3"/>
        <w:rPr>
          <w:rFonts w:asciiTheme="majorBidi" w:hAnsiTheme="majorBidi" w:cstheme="majorBidi"/>
          <w:u w:val="single"/>
        </w:rPr>
      </w:pPr>
    </w:p>
    <w:p w14:paraId="7E1730C2" w14:textId="77777777" w:rsidR="00145FA6" w:rsidRPr="00145FA6" w:rsidRDefault="00145FA6" w:rsidP="00145FA6">
      <w:pPr>
        <w:spacing w:after="3"/>
        <w:ind w:left="-5" w:hanging="10"/>
        <w:rPr>
          <w:rFonts w:asciiTheme="majorBidi" w:hAnsiTheme="majorBidi" w:cstheme="majorBidi"/>
          <w:b/>
          <w:bCs/>
        </w:rPr>
      </w:pPr>
      <w:r>
        <w:rPr>
          <w:rFonts w:asciiTheme="majorBidi" w:hAnsiTheme="majorBidi" w:cstheme="majorBidi"/>
          <w:b/>
          <w:bCs/>
        </w:rPr>
        <w:t>AI Usage Declaration Form for Students</w:t>
      </w:r>
    </w:p>
    <w:p w14:paraId="5AB685C0" w14:textId="77777777" w:rsidR="00145FA6" w:rsidRPr="00145FA6" w:rsidRDefault="00145FA6" w:rsidP="00145FA6">
      <w:pPr>
        <w:spacing w:after="3"/>
        <w:ind w:left="-5" w:hanging="10"/>
        <w:rPr>
          <w:rFonts w:asciiTheme="majorBidi" w:hAnsiTheme="majorBidi" w:cstheme="majorBidi"/>
          <w:b/>
          <w:bCs/>
          <w:u w:val="single"/>
        </w:rPr>
      </w:pPr>
    </w:p>
    <w:p w14:paraId="2735F995" w14:textId="77777777" w:rsidR="00145FA6" w:rsidRPr="00145FA6" w:rsidRDefault="00145FA6" w:rsidP="00145FA6">
      <w:pPr>
        <w:spacing w:after="3"/>
        <w:ind w:left="-5" w:hanging="10"/>
        <w:rPr>
          <w:rFonts w:asciiTheme="majorBidi" w:hAnsiTheme="majorBidi" w:cstheme="majorBidi"/>
        </w:rPr>
      </w:pPr>
      <w:r>
        <w:rPr>
          <w:rFonts w:asciiTheme="majorBidi" w:hAnsiTheme="majorBidi" w:cstheme="majorBidi"/>
        </w:rPr>
        <w:t>This form ensures transparency and adheres to the British University in Dubai's AI Usage Guidelines Policy. Your honest declaration is crucial for maintaining academic integrity.</w:t>
      </w:r>
    </w:p>
    <w:p w14:paraId="5CB49302" w14:textId="77777777" w:rsidR="00145FA6" w:rsidRPr="00145FA6" w:rsidRDefault="00145FA6" w:rsidP="00145FA6">
      <w:pPr>
        <w:spacing w:after="3"/>
        <w:ind w:left="-5" w:hanging="10"/>
        <w:rPr>
          <w:rFonts w:asciiTheme="majorBidi" w:hAnsiTheme="majorBidi" w:cstheme="majorBidi"/>
        </w:rPr>
      </w:pPr>
      <w:r>
        <w:rPr>
          <w:rFonts w:asciiTheme="majorBidi" w:hAnsiTheme="majorBidi" w:cstheme="majorBidi"/>
        </w:rPr>
        <w:t>Please complete and attach this form to ALL your submitted assignments, dissertation or theses regardless of whether you used AI or not.</w:t>
      </w:r>
    </w:p>
    <w:p w14:paraId="16789151" w14:textId="77777777" w:rsidR="00145FA6" w:rsidRPr="00145FA6" w:rsidRDefault="00145FA6" w:rsidP="00145FA6">
      <w:pPr>
        <w:spacing w:after="3"/>
        <w:ind w:left="-5" w:hanging="10"/>
        <w:rPr>
          <w:rFonts w:asciiTheme="majorBidi" w:hAnsiTheme="majorBidi" w:cstheme="majorBidi"/>
          <w:b/>
          <w:bCs/>
        </w:rPr>
      </w:pPr>
      <w:r>
        <w:rPr>
          <w:rFonts w:asciiTheme="majorBidi" w:hAnsiTheme="majorBidi" w:cstheme="majorBidi"/>
          <w:b/>
          <w:bCs/>
        </w:rPr>
        <w:t>A. Student Information</w:t>
      </w:r>
    </w:p>
    <w:p w14:paraId="2A6B7EE2" w14:textId="77777777" w:rsidR="00145FA6" w:rsidRPr="00145FA6" w:rsidRDefault="00145FA6" w:rsidP="00145FA6">
      <w:pPr>
        <w:spacing w:after="3"/>
        <w:ind w:left="-5" w:hanging="10"/>
        <w:rPr>
          <w:rFonts w:asciiTheme="majorBidi" w:hAnsiTheme="majorBidi" w:cstheme="majorBidi"/>
        </w:rPr>
      </w:pPr>
    </w:p>
    <w:tbl>
      <w:tblPr>
        <w:tblStyle w:val="TableGrid"/>
        <w:tblW w:w="0" w:type="auto"/>
        <w:tblLook w:val="04A0" w:firstRow="1" w:lastRow="0" w:firstColumn="1" w:lastColumn="0" w:noHBand="0" w:noVBand="1"/>
      </w:tblPr>
      <w:tblGrid>
        <w:gridCol w:w="3539"/>
        <w:gridCol w:w="5477"/>
      </w:tblGrid>
      <w:tr w:rsidR="00145FA6" w:rsidRPr="00145FA6" w14:paraId="57BF49AD" w14:textId="77777777" w:rsidTr="00145FA6">
        <w:tc>
          <w:tcPr>
            <w:tcW w:w="3539" w:type="dxa"/>
            <w:tcBorders>
              <w:top w:val="single" w:sz="4" w:space="0" w:color="auto"/>
              <w:left w:val="single" w:sz="4" w:space="0" w:color="auto"/>
              <w:bottom w:val="single" w:sz="4" w:space="0" w:color="auto"/>
              <w:right w:val="single" w:sz="4" w:space="0" w:color="auto"/>
            </w:tcBorders>
            <w:hideMark/>
          </w:tcPr>
          <w:p w14:paraId="78EF6F40"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lang w:val="en-AE"/>
              </w:rPr>
              <w:t>Student Full Name:</w:t>
            </w:r>
          </w:p>
        </w:tc>
        <w:tc>
          <w:tcPr>
            <w:tcW w:w="5477" w:type="dxa"/>
            <w:tcBorders>
              <w:top w:val="single" w:sz="4" w:space="0" w:color="auto"/>
              <w:left w:val="single" w:sz="4" w:space="0" w:color="auto"/>
              <w:bottom w:val="single" w:sz="4" w:space="0" w:color="auto"/>
              <w:right w:val="single" w:sz="4" w:space="0" w:color="auto"/>
            </w:tcBorders>
          </w:tcPr>
          <w:p w14:paraId="148BF193" w14:textId="77777777" w:rsidR="00145FA6" w:rsidRPr="00145FA6" w:rsidRDefault="00077CE0" w:rsidP="00077CE0">
            <w:pPr>
              <w:spacing w:after="3"/>
              <w:ind w:left="-5" w:hanging="10"/>
              <w:rPr>
                <w:rFonts w:asciiTheme="majorBidi" w:hAnsiTheme="majorBidi" w:cstheme="majorBidi"/>
                <w:lang w:val="en-AE"/>
              </w:rPr>
            </w:pPr>
            <w:r>
              <w:rPr>
                <w:rFonts w:asciiTheme="majorBidi" w:hAnsiTheme="majorBidi" w:cstheme="majorBidi"/>
              </w:rPr>
              <w:t>Ali Ahmed Ali Binsayyar</w:t>
            </w:r>
          </w:p>
        </w:tc>
      </w:tr>
      <w:tr w:rsidR="00145FA6" w:rsidRPr="00145FA6" w14:paraId="16ABEFDD" w14:textId="77777777" w:rsidTr="00145FA6">
        <w:tc>
          <w:tcPr>
            <w:tcW w:w="3539" w:type="dxa"/>
            <w:tcBorders>
              <w:top w:val="single" w:sz="4" w:space="0" w:color="auto"/>
              <w:left w:val="single" w:sz="4" w:space="0" w:color="auto"/>
              <w:bottom w:val="single" w:sz="4" w:space="0" w:color="auto"/>
              <w:right w:val="single" w:sz="4" w:space="0" w:color="auto"/>
            </w:tcBorders>
            <w:hideMark/>
          </w:tcPr>
          <w:p w14:paraId="607A514E"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lang w:val="en-AE"/>
              </w:rPr>
              <w:t>Student ID:</w:t>
            </w:r>
          </w:p>
        </w:tc>
        <w:tc>
          <w:tcPr>
            <w:tcW w:w="5477" w:type="dxa"/>
            <w:tcBorders>
              <w:top w:val="single" w:sz="4" w:space="0" w:color="auto"/>
              <w:left w:val="single" w:sz="4" w:space="0" w:color="auto"/>
              <w:bottom w:val="single" w:sz="4" w:space="0" w:color="auto"/>
              <w:right w:val="single" w:sz="4" w:space="0" w:color="auto"/>
            </w:tcBorders>
          </w:tcPr>
          <w:p w14:paraId="4F8E06E9" w14:textId="77777777" w:rsidR="00145FA6" w:rsidRPr="00145FA6" w:rsidRDefault="00757BED" w:rsidP="00757BED">
            <w:pPr>
              <w:spacing w:after="3"/>
              <w:ind w:left="-5" w:hanging="10"/>
              <w:rPr>
                <w:rFonts w:asciiTheme="majorBidi" w:hAnsiTheme="majorBidi" w:cstheme="majorBidi"/>
                <w:lang w:val="en-AE"/>
              </w:rPr>
            </w:pPr>
            <w:r>
              <w:rPr>
                <w:rFonts w:asciiTheme="majorBidi" w:hAnsiTheme="majorBidi" w:cstheme="majorBidi"/>
              </w:rPr>
              <w:t>20000799</w:t>
            </w:r>
          </w:p>
        </w:tc>
      </w:tr>
      <w:tr w:rsidR="00145FA6" w:rsidRPr="00145FA6" w14:paraId="55BEE0ED" w14:textId="77777777" w:rsidTr="00145FA6">
        <w:tc>
          <w:tcPr>
            <w:tcW w:w="3539" w:type="dxa"/>
            <w:tcBorders>
              <w:top w:val="single" w:sz="4" w:space="0" w:color="auto"/>
              <w:left w:val="single" w:sz="4" w:space="0" w:color="auto"/>
              <w:bottom w:val="single" w:sz="4" w:space="0" w:color="auto"/>
              <w:right w:val="single" w:sz="4" w:space="0" w:color="auto"/>
            </w:tcBorders>
            <w:hideMark/>
          </w:tcPr>
          <w:p w14:paraId="5D1DB53E"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lang w:val="en-AE"/>
              </w:rPr>
              <w:t>Module Name &amp; Code:</w:t>
            </w:r>
          </w:p>
        </w:tc>
        <w:tc>
          <w:tcPr>
            <w:tcW w:w="5477" w:type="dxa"/>
            <w:tcBorders>
              <w:top w:val="single" w:sz="4" w:space="0" w:color="auto"/>
              <w:left w:val="single" w:sz="4" w:space="0" w:color="auto"/>
              <w:bottom w:val="single" w:sz="4" w:space="0" w:color="auto"/>
              <w:right w:val="single" w:sz="4" w:space="0" w:color="auto"/>
            </w:tcBorders>
          </w:tcPr>
          <w:p w14:paraId="57BF020F" w14:textId="77777777" w:rsidR="00145FA6" w:rsidRPr="00145FA6" w:rsidRDefault="00757BED" w:rsidP="00757BED">
            <w:pPr>
              <w:spacing w:after="3"/>
              <w:ind w:left="-5" w:hanging="10"/>
              <w:rPr>
                <w:rFonts w:asciiTheme="majorBidi" w:hAnsiTheme="majorBidi" w:cstheme="majorBidi"/>
                <w:lang w:val="en-AE"/>
              </w:rPr>
            </w:pPr>
            <w:r>
              <w:rPr>
                <w:rFonts w:asciiTheme="majorBidi" w:hAnsiTheme="majorBidi" w:cstheme="majorBidi"/>
              </w:rPr>
              <w:t>RES600 Thesis</w:t>
            </w:r>
          </w:p>
        </w:tc>
      </w:tr>
      <w:tr w:rsidR="00145FA6" w:rsidRPr="00145FA6" w14:paraId="0E3830F4" w14:textId="77777777" w:rsidTr="00145FA6">
        <w:trPr>
          <w:trHeight w:val="267"/>
        </w:trPr>
        <w:tc>
          <w:tcPr>
            <w:tcW w:w="3539" w:type="dxa"/>
            <w:tcBorders>
              <w:top w:val="single" w:sz="4" w:space="0" w:color="auto"/>
              <w:left w:val="single" w:sz="4" w:space="0" w:color="auto"/>
              <w:bottom w:val="single" w:sz="4" w:space="0" w:color="auto"/>
              <w:right w:val="single" w:sz="4" w:space="0" w:color="auto"/>
            </w:tcBorders>
            <w:hideMark/>
          </w:tcPr>
          <w:p w14:paraId="16C7B805"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lang w:val="en-AE"/>
              </w:rPr>
              <w:t>Assignment Title:</w:t>
            </w:r>
          </w:p>
        </w:tc>
        <w:tc>
          <w:tcPr>
            <w:tcW w:w="5477" w:type="dxa"/>
            <w:tcBorders>
              <w:top w:val="single" w:sz="4" w:space="0" w:color="auto"/>
              <w:left w:val="single" w:sz="4" w:space="0" w:color="auto"/>
              <w:bottom w:val="single" w:sz="4" w:space="0" w:color="auto"/>
              <w:right w:val="single" w:sz="4" w:space="0" w:color="auto"/>
            </w:tcBorders>
          </w:tcPr>
          <w:p w14:paraId="06EB5C14" w14:textId="77777777" w:rsidR="00145FA6" w:rsidRPr="00145FA6" w:rsidRDefault="00077CE0" w:rsidP="00757BED">
            <w:pPr>
              <w:pStyle w:val="NormalWeb"/>
              <w:shd w:val="clear" w:color="auto" w:fill="FFFFFF"/>
              <w:spacing w:before="20" w:beforeAutospacing="0" w:after="20" w:afterAutospacing="0"/>
              <w:rPr>
                <w:rFonts w:asciiTheme="majorBidi" w:hAnsiTheme="majorBidi" w:cstheme="majorBidi"/>
                <w:bCs/>
                <w:color w:val="222222"/>
              </w:rPr>
            </w:pPr>
            <w:r>
              <w:rPr>
                <w:rFonts w:asciiTheme="majorBidi" w:hAnsiTheme="majorBidi" w:cstheme="majorBidi"/>
                <w:bCs/>
                <w:color w:val="222222"/>
              </w:rPr>
              <w:t>Online Commercial Arbitration in the United Arab Emirates: The Need for Legal Regulations</w:t>
            </w:r>
          </w:p>
        </w:tc>
      </w:tr>
      <w:tr w:rsidR="00145FA6" w:rsidRPr="00145FA6" w14:paraId="55546695" w14:textId="77777777" w:rsidTr="00145FA6">
        <w:tc>
          <w:tcPr>
            <w:tcW w:w="3539" w:type="dxa"/>
            <w:tcBorders>
              <w:top w:val="single" w:sz="4" w:space="0" w:color="auto"/>
              <w:left w:val="single" w:sz="4" w:space="0" w:color="auto"/>
              <w:bottom w:val="single" w:sz="4" w:space="0" w:color="auto"/>
              <w:right w:val="single" w:sz="4" w:space="0" w:color="auto"/>
            </w:tcBorders>
            <w:hideMark/>
          </w:tcPr>
          <w:p w14:paraId="1CBAB146"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lang w:val="en-AE"/>
              </w:rPr>
              <w:t>Instructor's Name:</w:t>
            </w:r>
          </w:p>
        </w:tc>
        <w:tc>
          <w:tcPr>
            <w:tcW w:w="5477" w:type="dxa"/>
            <w:tcBorders>
              <w:top w:val="single" w:sz="4" w:space="0" w:color="auto"/>
              <w:left w:val="single" w:sz="4" w:space="0" w:color="auto"/>
              <w:bottom w:val="single" w:sz="4" w:space="0" w:color="auto"/>
              <w:right w:val="single" w:sz="4" w:space="0" w:color="auto"/>
            </w:tcBorders>
          </w:tcPr>
          <w:p w14:paraId="412F797C" w14:textId="77777777" w:rsidR="00145FA6" w:rsidRPr="00145FA6" w:rsidRDefault="00077CE0" w:rsidP="00757BED">
            <w:pPr>
              <w:spacing w:before="0" w:after="0" w:line="240" w:lineRule="auto"/>
              <w:rPr>
                <w:rFonts w:asciiTheme="majorBidi" w:hAnsiTheme="majorBidi" w:cstheme="majorBidi"/>
                <w:bCs/>
              </w:rPr>
            </w:pPr>
            <w:r>
              <w:rPr>
                <w:rFonts w:asciiTheme="majorBidi" w:hAnsiTheme="majorBidi" w:cstheme="majorBidi"/>
                <w:bCs/>
              </w:rPr>
              <w:t>Dr. Abba Ali Kolo</w:t>
            </w:r>
          </w:p>
        </w:tc>
      </w:tr>
    </w:tbl>
    <w:p w14:paraId="21F0487C" w14:textId="77777777" w:rsidR="00145FA6" w:rsidRPr="00145FA6" w:rsidRDefault="00145FA6" w:rsidP="00145FA6">
      <w:pPr>
        <w:spacing w:after="3"/>
        <w:ind w:left="-5" w:hanging="10"/>
        <w:rPr>
          <w:rFonts w:asciiTheme="majorBidi" w:hAnsiTheme="majorBidi" w:cstheme="majorBidi"/>
        </w:rPr>
      </w:pPr>
    </w:p>
    <w:p w14:paraId="1A19752C" w14:textId="77777777" w:rsidR="00145FA6" w:rsidRPr="00145FA6" w:rsidRDefault="00145FA6" w:rsidP="00DE5A1C">
      <w:pPr>
        <w:spacing w:after="3"/>
        <w:ind w:left="-5" w:hanging="10"/>
        <w:rPr>
          <w:rFonts w:asciiTheme="majorBidi" w:hAnsiTheme="majorBidi" w:cstheme="majorBidi"/>
          <w:b/>
          <w:bCs/>
        </w:rPr>
      </w:pPr>
      <w:r>
        <w:rPr>
          <w:rFonts w:asciiTheme="majorBidi" w:hAnsiTheme="majorBidi" w:cstheme="majorBidi"/>
          <w:b/>
          <w:bCs/>
        </w:rPr>
        <w:t>B. AI Usage Declaration:</w:t>
      </w:r>
    </w:p>
    <w:p w14:paraId="5DB0CE55" w14:textId="77777777" w:rsidR="00145FA6" w:rsidRPr="00145FA6" w:rsidRDefault="00145FA6" w:rsidP="00AD47FD">
      <w:pPr>
        <w:spacing w:after="3"/>
        <w:ind w:left="-5" w:hanging="10"/>
        <w:rPr>
          <w:rFonts w:asciiTheme="majorBidi" w:hAnsiTheme="majorBidi" w:cstheme="majorBidi"/>
        </w:rPr>
      </w:pPr>
      <w:r>
        <w:rPr>
          <w:rFonts w:asciiTheme="majorBidi" w:hAnsiTheme="majorBidi" w:cstheme="majorBidi"/>
        </w:rPr>
        <w:t>Please select ONE of the following options that best describes your use of AI in this assignment. Refer to BUiD AI Usage Guidelines Policy for detailed definitions of each AI Assessment, Reporting and Attribution Scale (AIRA) level.</w:t>
      </w:r>
    </w:p>
    <w:p w14:paraId="62E8794E" w14:textId="77777777" w:rsidR="00145FA6" w:rsidRPr="008819FD" w:rsidRDefault="00145FA6" w:rsidP="00757BED">
      <w:pPr>
        <w:pStyle w:val="ListParagraph"/>
        <w:numPr>
          <w:ilvl w:val="0"/>
          <w:numId w:val="49"/>
        </w:numPr>
        <w:spacing w:after="3"/>
        <w:rPr>
          <w:rFonts w:asciiTheme="majorBidi" w:hAnsiTheme="majorBidi" w:cstheme="majorBidi"/>
        </w:rPr>
      </w:pPr>
      <w:r>
        <w:rPr>
          <w:rFonts w:asciiTheme="majorBidi" w:hAnsiTheme="majorBidi" w:cstheme="majorBidi"/>
          <w:b/>
          <w:u w:val="single"/>
        </w:rPr>
        <w:t>Option 1</w:t>
      </w:r>
      <w:r>
        <w:rPr>
          <w:rFonts w:asciiTheme="majorBidi" w:hAnsiTheme="majorBidi" w:cstheme="majorBidi"/>
          <w:u w:val="single"/>
        </w:rPr>
        <w:t>: No AI Used (AIRA Level 1: No AI)</w:t>
      </w:r>
      <w:r>
        <w:rPr>
          <w:rFonts w:hAnsiTheme="majorBidi" w:cstheme="majorBidi"/>
          <w:b/>
          <w:u w:val="single"/>
          <w:rtl/>
        </w:rPr>
        <w:t xml:space="preserve"> </w:t>
      </w:r>
    </w:p>
    <w:p w14:paraId="0B828ACB" w14:textId="77777777" w:rsidR="00145FA6" w:rsidRPr="00145FA6" w:rsidRDefault="00145FA6" w:rsidP="00145FA6">
      <w:pPr>
        <w:spacing w:after="3"/>
        <w:ind w:left="-5" w:hanging="10"/>
        <w:rPr>
          <w:rFonts w:asciiTheme="majorBidi" w:hAnsiTheme="majorBidi" w:cstheme="majorBidi"/>
        </w:rPr>
      </w:pPr>
      <w:r>
        <w:rPr>
          <w:rFonts w:asciiTheme="majorBidi" w:hAnsiTheme="majorBidi" w:cstheme="majorBidi"/>
        </w:rPr>
        <w:t>I declare that no AI tools or technologies were used at any point in the preparation or completion of this assignment. This includes, but is not limited to, generative AI for text, images, code, or data analysis, as well as AI for outlining, brainstorming, or extensive editing.</w:t>
      </w:r>
    </w:p>
    <w:p w14:paraId="2A133EFA" w14:textId="77777777" w:rsidR="00145FA6" w:rsidRPr="00145FA6" w:rsidRDefault="00145FA6" w:rsidP="001E2E1A">
      <w:pPr>
        <w:spacing w:after="3"/>
        <w:ind w:left="-5" w:hanging="10"/>
        <w:rPr>
          <w:rFonts w:asciiTheme="majorBidi" w:hAnsiTheme="majorBidi" w:cstheme="majorBidi"/>
        </w:rPr>
      </w:pPr>
      <w:r>
        <w:rPr>
          <w:rFonts w:asciiTheme="majorBidi" w:hAnsiTheme="majorBidi" w:cstheme="majorBidi"/>
        </w:rPr>
        <w:t xml:space="preserve">Signature: </w:t>
      </w:r>
      <w:r>
        <w:rPr>
          <w:noProof/>
        </w:rPr>
        <w:drawing>
          <wp:inline distT="0" distB="0" distL="0" distR="0" wp14:anchorId="2E343E63" wp14:editId="5B3CE223">
            <wp:extent cx="801858" cy="427543"/>
            <wp:effectExtent l="0" t="0" r="0" b="0"/>
            <wp:docPr id="1" name="Picture 1" descr="A blue line drawn on a white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line drawn on a white background  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7518" cy="462552"/>
                    </a:xfrm>
                    <a:prstGeom prst="rect">
                      <a:avLst/>
                    </a:prstGeom>
                  </pic:spPr>
                </pic:pic>
              </a:graphicData>
            </a:graphic>
          </wp:inline>
        </w:drawing>
      </w:r>
    </w:p>
    <w:p w14:paraId="3F63BD42" w14:textId="77777777" w:rsidR="00145FA6" w:rsidRPr="00145FA6" w:rsidRDefault="00145FA6" w:rsidP="001E2E1A">
      <w:pPr>
        <w:spacing w:after="3"/>
        <w:ind w:left="-5" w:hanging="10"/>
        <w:rPr>
          <w:rFonts w:asciiTheme="majorBidi" w:hAnsiTheme="majorBidi" w:cstheme="majorBidi"/>
        </w:rPr>
      </w:pPr>
      <w:r>
        <w:rPr>
          <w:rFonts w:asciiTheme="majorBidi" w:hAnsiTheme="majorBidi" w:cstheme="majorBidi"/>
        </w:rPr>
        <w:t>Date: Jan.2026</w:t>
      </w:r>
    </w:p>
    <w:p w14:paraId="70606EE8" w14:textId="77777777" w:rsidR="00145FA6" w:rsidRPr="008819FD" w:rsidRDefault="00145FA6" w:rsidP="00145FA6">
      <w:pPr>
        <w:spacing w:after="3"/>
        <w:ind w:left="-5" w:hanging="10"/>
        <w:rPr>
          <w:rFonts w:asciiTheme="majorBidi" w:hAnsiTheme="majorBidi" w:cstheme="majorBidi"/>
          <w:lang w:val="en-AE"/>
        </w:rPr>
      </w:pPr>
    </w:p>
    <w:p w14:paraId="3E8BA3A1" w14:textId="77777777" w:rsidR="00757BED" w:rsidRPr="00145FA6" w:rsidRDefault="00757BED" w:rsidP="00145FA6">
      <w:pPr>
        <w:spacing w:after="3"/>
        <w:ind w:left="-5" w:hanging="10"/>
        <w:rPr>
          <w:rFonts w:asciiTheme="majorBidi" w:hAnsiTheme="majorBidi" w:cstheme="majorBidi"/>
          <w:lang w:val="en-AE"/>
        </w:rPr>
      </w:pPr>
    </w:p>
    <w:p w14:paraId="0E114051" w14:textId="77777777" w:rsidR="00145FA6" w:rsidRPr="00145FA6" w:rsidRDefault="00145FA6" w:rsidP="00145FA6">
      <w:pPr>
        <w:spacing w:after="3"/>
        <w:ind w:left="-5" w:hanging="10"/>
        <w:rPr>
          <w:rFonts w:asciiTheme="majorBidi" w:hAnsiTheme="majorBidi" w:cstheme="majorBidi"/>
          <w:u w:val="single"/>
        </w:rPr>
      </w:pPr>
      <w:r>
        <w:rPr>
          <w:rFonts w:asciiTheme="majorBidi" w:hAnsiTheme="majorBidi" w:cstheme="majorBidi"/>
          <w:b/>
          <w:bCs/>
          <w:u w:val="single"/>
        </w:rPr>
        <w:t xml:space="preserve">Option 2: </w:t>
      </w:r>
      <w:r>
        <w:rPr>
          <w:rFonts w:asciiTheme="majorBidi" w:hAnsiTheme="majorBidi" w:cstheme="majorBidi"/>
          <w:u w:val="single"/>
        </w:rPr>
        <w:t>AI Used (Specify AIRA Level and Details Below)</w:t>
      </w:r>
    </w:p>
    <w:p w14:paraId="46DD1B52" w14:textId="77777777" w:rsidR="00145FA6" w:rsidRPr="00145FA6" w:rsidRDefault="00145FA6" w:rsidP="00145FA6">
      <w:pPr>
        <w:spacing w:after="3"/>
        <w:ind w:left="-5" w:hanging="10"/>
        <w:rPr>
          <w:rFonts w:asciiTheme="majorBidi" w:hAnsiTheme="majorBidi" w:cstheme="majorBidi"/>
          <w:lang w:val="en-AE"/>
        </w:rPr>
      </w:pPr>
    </w:p>
    <w:p w14:paraId="2B6E05F6" w14:textId="77777777" w:rsidR="00145FA6" w:rsidRPr="00145FA6" w:rsidRDefault="00145FA6" w:rsidP="00145FA6">
      <w:pPr>
        <w:spacing w:after="3"/>
        <w:ind w:left="-5" w:hanging="10"/>
        <w:rPr>
          <w:rFonts w:asciiTheme="majorBidi" w:hAnsiTheme="majorBidi" w:cstheme="majorBidi"/>
        </w:rPr>
      </w:pPr>
      <w:r>
        <w:rPr>
          <w:rFonts w:asciiTheme="majorBidi" w:hAnsiTheme="majorBidi" w:cstheme="majorBidi"/>
        </w:rPr>
        <w:t>I declare that I have used AI tool(s) in the preparation and/or completion of this assignment. My use of AI adheres to BUiD’s AI Usage Guidelines Policy, and the specific AI Assessment, Reporting and Attribution Scale (AIRA) level prescribed for this assignment by the instructor.</w:t>
      </w:r>
    </w:p>
    <w:p w14:paraId="36E77ACC" w14:textId="77777777" w:rsidR="00145FA6" w:rsidRPr="00145FA6" w:rsidRDefault="00145FA6" w:rsidP="00145FA6">
      <w:pPr>
        <w:spacing w:after="3"/>
        <w:ind w:left="-5" w:hanging="10"/>
        <w:rPr>
          <w:rFonts w:asciiTheme="majorBidi" w:hAnsiTheme="majorBidi" w:cstheme="majorBidi"/>
        </w:rPr>
      </w:pPr>
      <w:r>
        <w:rPr>
          <w:rFonts w:asciiTheme="majorBidi" w:hAnsiTheme="majorBidi" w:cstheme="majorBidi"/>
        </w:rPr>
        <w:t>Please indicate the AI Assessment, Reporting and Attribution Scale (AIRA) Level permitted/used for this assignment (check one):</w:t>
      </w:r>
    </w:p>
    <w:p w14:paraId="695EA213" w14:textId="77777777" w:rsidR="00145FA6" w:rsidRPr="00145FA6" w:rsidRDefault="00145FA6" w:rsidP="00145FA6">
      <w:pPr>
        <w:spacing w:after="3"/>
        <w:ind w:left="-5" w:hanging="10"/>
        <w:rPr>
          <w:rFonts w:asciiTheme="majorBidi" w:hAnsiTheme="majorBidi" w:cstheme="majorBidi"/>
        </w:rPr>
      </w:pPr>
    </w:p>
    <w:p w14:paraId="6E7C950E" w14:textId="77777777" w:rsidR="00145FA6" w:rsidRPr="00145FA6" w:rsidRDefault="00CC217E" w:rsidP="00145FA6">
      <w:pPr>
        <w:spacing w:after="3"/>
        <w:ind w:left="-5" w:hanging="10"/>
        <w:rPr>
          <w:rFonts w:asciiTheme="majorBidi" w:hAnsiTheme="majorBidi" w:cstheme="majorBidi"/>
          <w:lang w:val="en-AE"/>
        </w:rPr>
      </w:pPr>
      <w:sdt>
        <w:sdtPr>
          <w:rPr>
            <w:rFonts w:asciiTheme="majorBidi" w:hAnsiTheme="majorBidi" w:cstheme="majorBidi"/>
            <w:lang w:val="en-AE"/>
          </w:rPr>
          <w:id w:val="1073856756"/>
          <w14:checkbox>
            <w14:checked w14:val="0"/>
            <w14:checkedState w14:val="2612" w14:font="MS Gothic"/>
            <w14:uncheckedState w14:val="2610" w14:font="MS Gothic"/>
          </w14:checkbox>
        </w:sdtPr>
        <w:sdtEndPr/>
        <w:sdtContent>
          <w:r w:rsidR="00E1792A">
            <w:rPr>
              <w:rFonts w:ascii="Segoe UI Symbol" w:hAnsi="Segoe UI Symbol" w:cs="Segoe UI Symbol"/>
              <w:lang w:val="en-AE"/>
            </w:rPr>
            <w:t>☐</w:t>
          </w:r>
        </w:sdtContent>
      </w:sdt>
      <w:r w:rsidR="00E1792A">
        <w:rPr>
          <w:rFonts w:asciiTheme="majorBidi" w:hAnsiTheme="majorBidi" w:cstheme="majorBidi"/>
          <w:lang w:val="en-AE"/>
        </w:rPr>
        <w:t xml:space="preserve"> </w:t>
      </w:r>
      <w:r w:rsidR="00E1792A">
        <w:rPr>
          <w:rFonts w:asciiTheme="majorBidi" w:hAnsiTheme="majorBidi" w:cstheme="majorBidi"/>
          <w:b/>
          <w:bCs/>
        </w:rPr>
        <w:t>AIRA Level 2</w:t>
      </w:r>
      <w:r w:rsidR="00E1792A">
        <w:rPr>
          <w:rFonts w:asciiTheme="majorBidi" w:hAnsiTheme="majorBidi" w:cstheme="majorBidi"/>
        </w:rPr>
        <w:t xml:space="preserve">: </w:t>
      </w:r>
      <w:r w:rsidR="00E1792A">
        <w:rPr>
          <w:rFonts w:asciiTheme="majorBidi" w:hAnsiTheme="majorBidi" w:cstheme="majorBidi"/>
          <w:u w:val="single"/>
        </w:rPr>
        <w:t>AI-Planned,</w:t>
      </w:r>
      <w:r w:rsidR="00E1792A">
        <w:rPr>
          <w:rFonts w:asciiTheme="majorBidi" w:hAnsiTheme="majorBidi" w:cstheme="majorBidi"/>
        </w:rPr>
        <w:t xml:space="preserve"> Idea Generation and Structuring</w:t>
      </w:r>
    </w:p>
    <w:p w14:paraId="3C6F3857" w14:textId="77777777" w:rsidR="00145FA6" w:rsidRPr="00145FA6" w:rsidRDefault="00145FA6" w:rsidP="00145FA6">
      <w:pPr>
        <w:numPr>
          <w:ilvl w:val="1"/>
          <w:numId w:val="47"/>
        </w:numPr>
        <w:spacing w:after="3"/>
        <w:rPr>
          <w:rFonts w:asciiTheme="majorBidi" w:hAnsiTheme="majorBidi" w:cstheme="majorBidi"/>
          <w:lang w:val="en-AE"/>
        </w:rPr>
      </w:pPr>
      <w:r>
        <w:rPr>
          <w:rFonts w:asciiTheme="majorBidi" w:hAnsiTheme="majorBidi" w:cstheme="majorBidi"/>
        </w:rPr>
        <w:t>AI used only for brainstorming, outlining, or structuring ideas. No AI-generated content (text, images, code, etc.) in the final submission</w:t>
      </w:r>
      <w:r>
        <w:rPr>
          <w:rFonts w:asciiTheme="majorBidi" w:hAnsiTheme="majorBidi" w:cstheme="majorBidi"/>
          <w:lang w:val="en-AE"/>
        </w:rPr>
        <w:t>.</w:t>
      </w:r>
    </w:p>
    <w:p w14:paraId="11D13DFF" w14:textId="77777777" w:rsidR="00145FA6" w:rsidRPr="00145FA6" w:rsidRDefault="00145FA6" w:rsidP="00145FA6">
      <w:pPr>
        <w:spacing w:after="3"/>
        <w:ind w:left="-5" w:hanging="10"/>
        <w:rPr>
          <w:rFonts w:asciiTheme="majorBidi" w:hAnsiTheme="majorBidi" w:cstheme="majorBidi"/>
          <w:lang w:val="en-AE"/>
        </w:rPr>
      </w:pPr>
    </w:p>
    <w:p w14:paraId="234411B1" w14:textId="77777777" w:rsidR="00145FA6" w:rsidRPr="00145FA6" w:rsidRDefault="00CC217E" w:rsidP="00145FA6">
      <w:pPr>
        <w:spacing w:after="3"/>
        <w:ind w:left="-5" w:hanging="10"/>
        <w:rPr>
          <w:rFonts w:asciiTheme="majorBidi" w:hAnsiTheme="majorBidi" w:cstheme="majorBidi"/>
          <w:lang w:val="en-AE"/>
        </w:rPr>
      </w:pPr>
      <w:sdt>
        <w:sdtPr>
          <w:rPr>
            <w:rFonts w:asciiTheme="majorBidi" w:hAnsiTheme="majorBidi" w:cstheme="majorBidi"/>
            <w:lang w:val="en-AE"/>
          </w:rPr>
          <w:id w:val="320478438"/>
          <w14:checkbox>
            <w14:checked w14:val="0"/>
            <w14:checkedState w14:val="2612" w14:font="MS Gothic"/>
            <w14:uncheckedState w14:val="2610" w14:font="MS Gothic"/>
          </w14:checkbox>
        </w:sdtPr>
        <w:sdtEndPr/>
        <w:sdtContent>
          <w:r w:rsidR="00E1792A">
            <w:rPr>
              <w:rFonts w:ascii="Segoe UI Symbol" w:hAnsi="Segoe UI Symbol" w:cs="Segoe UI Symbol"/>
              <w:lang w:val="en-AE"/>
            </w:rPr>
            <w:t>☐</w:t>
          </w:r>
        </w:sdtContent>
      </w:sdt>
      <w:r w:rsidR="00E1792A">
        <w:rPr>
          <w:rFonts w:asciiTheme="majorBidi" w:hAnsiTheme="majorBidi" w:cstheme="majorBidi"/>
          <w:lang w:val="en-AE"/>
        </w:rPr>
        <w:t xml:space="preserve">  </w:t>
      </w:r>
      <w:r w:rsidR="00E1792A">
        <w:rPr>
          <w:rFonts w:asciiTheme="majorBidi" w:hAnsiTheme="majorBidi" w:cstheme="majorBidi"/>
          <w:b/>
          <w:bCs/>
          <w:lang w:val="en-AE"/>
        </w:rPr>
        <w:t>AIRA Level 3</w:t>
      </w:r>
      <w:r w:rsidR="00E1792A">
        <w:rPr>
          <w:rFonts w:asciiTheme="majorBidi" w:hAnsiTheme="majorBidi" w:cstheme="majorBidi"/>
          <w:lang w:val="en-AE"/>
        </w:rPr>
        <w:t xml:space="preserve">: </w:t>
      </w:r>
      <w:r w:rsidR="00E1792A">
        <w:rPr>
          <w:rFonts w:asciiTheme="majorBidi" w:hAnsiTheme="majorBidi" w:cstheme="majorBidi"/>
          <w:u w:val="single"/>
          <w:lang w:val="en-AE"/>
        </w:rPr>
        <w:t>AI- Collaborated</w:t>
      </w:r>
      <w:r w:rsidR="00E1792A">
        <w:rPr>
          <w:rFonts w:asciiTheme="majorBidi" w:hAnsiTheme="majorBidi" w:cstheme="majorBidi"/>
          <w:lang w:val="en-AE"/>
        </w:rPr>
        <w:t xml:space="preserve"> in idea generation, drafting, feedback, and refinement</w:t>
      </w:r>
    </w:p>
    <w:p w14:paraId="056773AB" w14:textId="77777777" w:rsidR="00145FA6" w:rsidRPr="00145FA6" w:rsidRDefault="00145FA6" w:rsidP="00145FA6">
      <w:pPr>
        <w:numPr>
          <w:ilvl w:val="1"/>
          <w:numId w:val="47"/>
        </w:numPr>
        <w:spacing w:after="3"/>
        <w:rPr>
          <w:rFonts w:asciiTheme="majorBidi" w:hAnsiTheme="majorBidi" w:cstheme="majorBidi"/>
        </w:rPr>
      </w:pPr>
      <w:r>
        <w:rPr>
          <w:rFonts w:asciiTheme="majorBidi" w:hAnsiTheme="majorBidi" w:cstheme="majorBidi"/>
        </w:rPr>
        <w:t>AI used to assist with specific tasks such as drafting text, refining and evaluating of student-created work.</w:t>
      </w:r>
    </w:p>
    <w:p w14:paraId="6CCD1BB8" w14:textId="77777777" w:rsidR="00145FA6" w:rsidRPr="00145FA6" w:rsidRDefault="00CC217E" w:rsidP="00145FA6">
      <w:pPr>
        <w:spacing w:after="3"/>
        <w:ind w:left="-5" w:hanging="10"/>
        <w:rPr>
          <w:rFonts w:asciiTheme="majorBidi" w:hAnsiTheme="majorBidi" w:cstheme="majorBidi"/>
          <w:lang w:val="en-AE"/>
        </w:rPr>
      </w:pPr>
      <w:sdt>
        <w:sdtPr>
          <w:rPr>
            <w:rFonts w:asciiTheme="majorBidi" w:hAnsiTheme="majorBidi" w:cstheme="majorBidi"/>
            <w:lang w:val="en-AE"/>
          </w:rPr>
          <w:id w:val="-1679191026"/>
          <w14:checkbox>
            <w14:checked w14:val="0"/>
            <w14:checkedState w14:val="2612" w14:font="MS Gothic"/>
            <w14:uncheckedState w14:val="2610" w14:font="MS Gothic"/>
          </w14:checkbox>
        </w:sdtPr>
        <w:sdtEndPr/>
        <w:sdtContent>
          <w:r w:rsidR="00E1792A">
            <w:rPr>
              <w:rFonts w:ascii="Segoe UI Symbol" w:hAnsi="Segoe UI Symbol" w:cs="Segoe UI Symbol"/>
              <w:lang w:val="en-AE"/>
            </w:rPr>
            <w:t>☐</w:t>
          </w:r>
        </w:sdtContent>
      </w:sdt>
      <w:r w:rsidR="00E1792A">
        <w:rPr>
          <w:rFonts w:asciiTheme="majorBidi" w:hAnsiTheme="majorBidi" w:cstheme="majorBidi"/>
          <w:lang w:val="en-AE"/>
        </w:rPr>
        <w:t xml:space="preserve">  </w:t>
      </w:r>
      <w:r w:rsidR="00E1792A">
        <w:rPr>
          <w:rFonts w:asciiTheme="majorBidi" w:hAnsiTheme="majorBidi" w:cstheme="majorBidi"/>
          <w:b/>
          <w:bCs/>
          <w:lang w:val="en-AE"/>
        </w:rPr>
        <w:t>AIRA Level 4</w:t>
      </w:r>
      <w:r w:rsidR="00E1792A">
        <w:rPr>
          <w:rFonts w:asciiTheme="majorBidi" w:hAnsiTheme="majorBidi" w:cstheme="majorBidi"/>
          <w:lang w:val="en-AE"/>
        </w:rPr>
        <w:t xml:space="preserve">: </w:t>
      </w:r>
      <w:r w:rsidR="00E1792A">
        <w:rPr>
          <w:rFonts w:asciiTheme="majorBidi" w:hAnsiTheme="majorBidi" w:cstheme="majorBidi"/>
          <w:u w:val="single"/>
          <w:lang w:val="en-AE"/>
        </w:rPr>
        <w:t>AI-Driven</w:t>
      </w:r>
      <w:r w:rsidR="00E1792A">
        <w:rPr>
          <w:rFonts w:asciiTheme="majorBidi" w:hAnsiTheme="majorBidi" w:cstheme="majorBidi"/>
          <w:lang w:val="en-AE"/>
        </w:rPr>
        <w:t>, directing AI to achieve your goals while demonstrating your critical thinking</w:t>
      </w:r>
    </w:p>
    <w:p w14:paraId="13AD4F51" w14:textId="77777777" w:rsidR="00145FA6" w:rsidRPr="00145FA6" w:rsidRDefault="00145FA6" w:rsidP="00145FA6">
      <w:pPr>
        <w:numPr>
          <w:ilvl w:val="1"/>
          <w:numId w:val="47"/>
        </w:numPr>
        <w:spacing w:after="3"/>
        <w:rPr>
          <w:rFonts w:asciiTheme="majorBidi" w:hAnsiTheme="majorBidi" w:cstheme="majorBidi"/>
        </w:rPr>
      </w:pPr>
      <w:r>
        <w:rPr>
          <w:rFonts w:asciiTheme="majorBidi" w:hAnsiTheme="majorBidi" w:cstheme="majorBidi"/>
        </w:rPr>
        <w:t>AI used to complete specific elements of the task, with critical human review, analysis, and integration of AI-generated content.</w:t>
      </w:r>
    </w:p>
    <w:p w14:paraId="7AC8986F" w14:textId="77777777" w:rsidR="00145FA6" w:rsidRPr="00145FA6" w:rsidRDefault="00CC217E" w:rsidP="00145FA6">
      <w:pPr>
        <w:spacing w:after="3"/>
        <w:ind w:left="-5" w:hanging="10"/>
        <w:rPr>
          <w:rFonts w:asciiTheme="majorBidi" w:hAnsiTheme="majorBidi" w:cstheme="majorBidi"/>
          <w:lang w:val="en-AE"/>
        </w:rPr>
      </w:pPr>
      <w:sdt>
        <w:sdtPr>
          <w:rPr>
            <w:rFonts w:asciiTheme="majorBidi" w:hAnsiTheme="majorBidi" w:cstheme="majorBidi"/>
            <w:lang w:val="en-AE"/>
          </w:rPr>
          <w:id w:val="-874385368"/>
          <w14:checkbox>
            <w14:checked w14:val="0"/>
            <w14:checkedState w14:val="2612" w14:font="MS Gothic"/>
            <w14:uncheckedState w14:val="2610" w14:font="MS Gothic"/>
          </w14:checkbox>
        </w:sdtPr>
        <w:sdtEndPr/>
        <w:sdtContent>
          <w:r w:rsidR="00E1792A">
            <w:rPr>
              <w:rFonts w:ascii="Segoe UI Symbol" w:hAnsi="Segoe UI Symbol" w:cs="Segoe UI Symbol"/>
              <w:lang w:val="en-AE"/>
            </w:rPr>
            <w:t>☐</w:t>
          </w:r>
        </w:sdtContent>
      </w:sdt>
      <w:r w:rsidR="00E1792A">
        <w:rPr>
          <w:rFonts w:asciiTheme="majorBidi" w:hAnsiTheme="majorBidi" w:cstheme="majorBidi"/>
          <w:lang w:val="en-AE"/>
        </w:rPr>
        <w:t xml:space="preserve"> </w:t>
      </w:r>
      <w:r w:rsidR="00E1792A">
        <w:rPr>
          <w:rFonts w:asciiTheme="majorBidi" w:hAnsiTheme="majorBidi" w:cstheme="majorBidi"/>
          <w:b/>
          <w:bCs/>
        </w:rPr>
        <w:t xml:space="preserve">AIRA </w:t>
      </w:r>
      <w:r w:rsidR="00E1792A">
        <w:rPr>
          <w:rFonts w:asciiTheme="majorBidi" w:hAnsiTheme="majorBidi" w:cstheme="majorBidi"/>
          <w:b/>
          <w:bCs/>
          <w:lang w:val="en-AE"/>
        </w:rPr>
        <w:t>Level 5</w:t>
      </w:r>
      <w:r w:rsidR="00E1792A">
        <w:rPr>
          <w:rFonts w:asciiTheme="majorBidi" w:hAnsiTheme="majorBidi" w:cstheme="majorBidi"/>
          <w:lang w:val="en-AE"/>
        </w:rPr>
        <w:t xml:space="preserve">: </w:t>
      </w:r>
      <w:r w:rsidR="00E1792A">
        <w:rPr>
          <w:rFonts w:asciiTheme="majorBidi" w:hAnsiTheme="majorBidi" w:cstheme="majorBidi"/>
          <w:u w:val="single"/>
          <w:lang w:val="en-AE"/>
        </w:rPr>
        <w:t>AI-Co-Pilot</w:t>
      </w:r>
      <w:r w:rsidR="00E1792A">
        <w:rPr>
          <w:rFonts w:asciiTheme="majorBidi" w:hAnsiTheme="majorBidi" w:cstheme="majorBidi"/>
          <w:lang w:val="en-AE"/>
        </w:rPr>
        <w:t>, enhancing generating novel insights and innovative solutions</w:t>
      </w:r>
    </w:p>
    <w:p w14:paraId="7C8CDB7F" w14:textId="77777777" w:rsidR="00145FA6" w:rsidRPr="00145FA6" w:rsidRDefault="00145FA6" w:rsidP="00145FA6">
      <w:pPr>
        <w:numPr>
          <w:ilvl w:val="1"/>
          <w:numId w:val="47"/>
        </w:numPr>
        <w:spacing w:after="3"/>
        <w:rPr>
          <w:rFonts w:asciiTheme="majorBidi" w:hAnsiTheme="majorBidi" w:cstheme="majorBidi"/>
        </w:rPr>
      </w:pPr>
      <w:r>
        <w:rPr>
          <w:rFonts w:asciiTheme="majorBidi" w:hAnsiTheme="majorBidi" w:cstheme="majorBidi"/>
        </w:rPr>
        <w:t>AI is used creatively to enhance problem-solving, generate novel insights, or develop innovative solutions to solve problems.</w:t>
      </w:r>
    </w:p>
    <w:p w14:paraId="42CD9D09" w14:textId="77777777" w:rsidR="00145FA6" w:rsidRPr="00145FA6" w:rsidRDefault="00145FA6" w:rsidP="00145FA6">
      <w:pPr>
        <w:spacing w:after="3"/>
        <w:ind w:left="-5" w:hanging="10"/>
        <w:rPr>
          <w:rFonts w:asciiTheme="majorBidi" w:hAnsiTheme="majorBidi" w:cstheme="majorBidi"/>
          <w:b/>
          <w:bCs/>
        </w:rPr>
      </w:pPr>
      <w:r>
        <w:rPr>
          <w:rFonts w:asciiTheme="majorBidi" w:hAnsiTheme="majorBidi" w:cstheme="majorBidi"/>
          <w:b/>
          <w:bCs/>
        </w:rPr>
        <w:t>Provide specific details about your AI usage in the table below:</w:t>
      </w:r>
    </w:p>
    <w:p w14:paraId="650E2C86" w14:textId="77777777" w:rsidR="00145FA6" w:rsidRPr="00145FA6" w:rsidRDefault="00145FA6" w:rsidP="00145FA6">
      <w:pPr>
        <w:spacing w:after="3"/>
        <w:ind w:left="-5" w:hanging="10"/>
        <w:rPr>
          <w:rFonts w:asciiTheme="majorBidi" w:hAnsiTheme="majorBidi" w:cstheme="majorBidi"/>
          <w:b/>
          <w:bCs/>
        </w:rPr>
      </w:pPr>
    </w:p>
    <w:tbl>
      <w:tblPr>
        <w:tblStyle w:val="TableGrid"/>
        <w:tblW w:w="9424" w:type="dxa"/>
        <w:tblLook w:val="04A0" w:firstRow="1" w:lastRow="0" w:firstColumn="1" w:lastColumn="0" w:noHBand="0" w:noVBand="1"/>
      </w:tblPr>
      <w:tblGrid>
        <w:gridCol w:w="1884"/>
        <w:gridCol w:w="1884"/>
        <w:gridCol w:w="1884"/>
        <w:gridCol w:w="1886"/>
        <w:gridCol w:w="1886"/>
      </w:tblGrid>
      <w:tr w:rsidR="00145FA6" w:rsidRPr="00145FA6" w14:paraId="4C01763B" w14:textId="77777777" w:rsidTr="00145FA6">
        <w:trPr>
          <w:trHeight w:val="2892"/>
        </w:trPr>
        <w:tc>
          <w:tcPr>
            <w:tcW w:w="18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CEEABE" w14:textId="77777777" w:rsidR="00145FA6" w:rsidRPr="00145FA6" w:rsidRDefault="00145FA6" w:rsidP="00145FA6">
            <w:pPr>
              <w:spacing w:after="3"/>
              <w:ind w:left="-5" w:hanging="10"/>
              <w:rPr>
                <w:rFonts w:asciiTheme="majorBidi" w:hAnsiTheme="majorBidi" w:cstheme="majorBidi"/>
                <w:b/>
                <w:bCs/>
                <w:lang w:val="en-AE"/>
              </w:rPr>
            </w:pPr>
            <w:r>
              <w:rPr>
                <w:rFonts w:asciiTheme="majorBidi" w:hAnsiTheme="majorBidi" w:cstheme="majorBidi"/>
                <w:b/>
                <w:bCs/>
                <w:lang w:val="en-AE"/>
              </w:rPr>
              <w:lastRenderedPageBreak/>
              <w:t xml:space="preserve">AI Tool Used </w:t>
            </w:r>
          </w:p>
        </w:tc>
        <w:tc>
          <w:tcPr>
            <w:tcW w:w="18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106199" w14:textId="77777777" w:rsidR="00145FA6" w:rsidRPr="00145FA6" w:rsidRDefault="00145FA6" w:rsidP="00145FA6">
            <w:pPr>
              <w:spacing w:after="3"/>
              <w:ind w:left="-5" w:hanging="10"/>
              <w:rPr>
                <w:rFonts w:asciiTheme="majorBidi" w:hAnsiTheme="majorBidi" w:cstheme="majorBidi"/>
                <w:b/>
                <w:bCs/>
                <w:lang w:val="en-AE"/>
              </w:rPr>
            </w:pPr>
            <w:r>
              <w:rPr>
                <w:rFonts w:asciiTheme="majorBidi" w:hAnsiTheme="majorBidi" w:cstheme="majorBidi"/>
                <w:b/>
                <w:bCs/>
                <w:lang w:val="en-AE"/>
              </w:rPr>
              <w:t>Purpose of AI Use</w:t>
            </w:r>
            <w:r>
              <w:rPr>
                <w:rFonts w:asciiTheme="majorBidi" w:hAnsiTheme="majorBidi" w:cstheme="majorBidi"/>
                <w:lang w:val="en-AE"/>
              </w:rPr>
              <w:t xml:space="preserve"> (e.g., brainstorming, outlining, grammar check, content generation for analysis, image creation, code generation, data simulation)</w:t>
            </w:r>
          </w:p>
        </w:tc>
        <w:tc>
          <w:tcPr>
            <w:tcW w:w="18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7D1E0D"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b/>
                <w:bCs/>
                <w:lang w:val="en-AE"/>
              </w:rPr>
              <w:t>Specific Prompt(s) Used</w:t>
            </w:r>
            <w:r>
              <w:rPr>
                <w:rFonts w:asciiTheme="majorBidi" w:hAnsiTheme="majorBidi" w:cstheme="majorBidi"/>
                <w:lang w:val="en-AE"/>
              </w:rPr>
              <w:t xml:space="preserve"> </w:t>
            </w:r>
          </w:p>
          <w:p w14:paraId="29F688C1" w14:textId="77777777" w:rsidR="00145FA6" w:rsidRPr="00145FA6" w:rsidRDefault="00145FA6" w:rsidP="00145FA6">
            <w:pPr>
              <w:spacing w:after="3"/>
              <w:ind w:left="-5" w:hanging="10"/>
              <w:rPr>
                <w:rFonts w:asciiTheme="majorBidi" w:hAnsiTheme="majorBidi" w:cstheme="majorBidi"/>
                <w:b/>
                <w:bCs/>
                <w:lang w:val="en-AE"/>
              </w:rPr>
            </w:pPr>
            <w:r>
              <w:rPr>
                <w:rFonts w:asciiTheme="majorBidi" w:hAnsiTheme="majorBidi" w:cstheme="majorBidi"/>
                <w:lang w:val="en-AE"/>
              </w:rPr>
              <w:t>(or a concise summary if very long; attach full prompt log in an appendix if required by instructor)</w:t>
            </w:r>
          </w:p>
        </w:tc>
        <w:tc>
          <w:tcPr>
            <w:tcW w:w="18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E91825" w14:textId="77777777" w:rsidR="00145FA6" w:rsidRPr="00145FA6" w:rsidRDefault="00145FA6" w:rsidP="00145FA6">
            <w:pPr>
              <w:spacing w:after="3"/>
              <w:ind w:left="-5" w:hanging="10"/>
              <w:rPr>
                <w:rFonts w:asciiTheme="majorBidi" w:hAnsiTheme="majorBidi" w:cstheme="majorBidi"/>
                <w:b/>
                <w:bCs/>
                <w:lang w:val="en-AE"/>
              </w:rPr>
            </w:pPr>
            <w:r>
              <w:rPr>
                <w:rFonts w:asciiTheme="majorBidi" w:hAnsiTheme="majorBidi" w:cstheme="majorBidi"/>
                <w:b/>
                <w:bCs/>
                <w:lang w:val="en-AE"/>
              </w:rPr>
              <w:t>Description of AI Output's Contribution to the Final Work</w:t>
            </w:r>
            <w:r>
              <w:rPr>
                <w:rFonts w:asciiTheme="majorBidi" w:hAnsiTheme="majorBidi" w:cstheme="majorBidi"/>
                <w:lang w:val="en-AE"/>
              </w:rPr>
              <w:t xml:space="preserve"> (e.g., provided list of ideas, corrected grammar, generated sample code for X function)</w:t>
            </w:r>
          </w:p>
        </w:tc>
        <w:tc>
          <w:tcPr>
            <w:tcW w:w="18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5040F3"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b/>
                <w:bCs/>
                <w:lang w:val="en-AE"/>
              </w:rPr>
              <w:t>Your Role / Modifications Made to AI Output</w:t>
            </w:r>
            <w:r>
              <w:rPr>
                <w:rFonts w:asciiTheme="majorBidi" w:hAnsiTheme="majorBidi" w:cstheme="majorBidi"/>
                <w:lang w:val="en-AE"/>
              </w:rPr>
              <w:t xml:space="preserve"> </w:t>
            </w:r>
          </w:p>
          <w:p w14:paraId="1FD86759" w14:textId="77777777" w:rsidR="00145FA6" w:rsidRPr="00145FA6" w:rsidRDefault="00145FA6" w:rsidP="00145FA6">
            <w:pPr>
              <w:spacing w:after="3"/>
              <w:ind w:left="-5" w:hanging="10"/>
              <w:rPr>
                <w:rFonts w:asciiTheme="majorBidi" w:hAnsiTheme="majorBidi" w:cstheme="majorBidi"/>
                <w:b/>
                <w:bCs/>
                <w:lang w:val="en-AE"/>
              </w:rPr>
            </w:pPr>
            <w:r>
              <w:rPr>
                <w:rFonts w:asciiTheme="majorBidi" w:hAnsiTheme="majorBidi" w:cstheme="majorBidi"/>
                <w:lang w:val="en-AE"/>
              </w:rPr>
              <w:t>(e.g., selected and refined ideas, critically reviewed and edited suggestions, debugged and integrated code)</w:t>
            </w:r>
          </w:p>
        </w:tc>
      </w:tr>
      <w:tr w:rsidR="00145FA6" w:rsidRPr="00145FA6" w14:paraId="7B3B4D48" w14:textId="77777777" w:rsidTr="00145FA6">
        <w:trPr>
          <w:trHeight w:val="284"/>
        </w:trPr>
        <w:tc>
          <w:tcPr>
            <w:tcW w:w="1884" w:type="dxa"/>
            <w:tcBorders>
              <w:top w:val="single" w:sz="4" w:space="0" w:color="auto"/>
              <w:left w:val="single" w:sz="4" w:space="0" w:color="auto"/>
              <w:bottom w:val="single" w:sz="4" w:space="0" w:color="auto"/>
              <w:right w:val="single" w:sz="4" w:space="0" w:color="auto"/>
            </w:tcBorders>
            <w:vAlign w:val="center"/>
            <w:hideMark/>
          </w:tcPr>
          <w:p w14:paraId="6F219869"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lang w:val="en-AE"/>
              </w:rPr>
              <w:t>1.</w:t>
            </w:r>
          </w:p>
        </w:tc>
        <w:tc>
          <w:tcPr>
            <w:tcW w:w="1884" w:type="dxa"/>
            <w:tcBorders>
              <w:top w:val="single" w:sz="4" w:space="0" w:color="auto"/>
              <w:left w:val="single" w:sz="4" w:space="0" w:color="auto"/>
              <w:bottom w:val="single" w:sz="4" w:space="0" w:color="auto"/>
              <w:right w:val="single" w:sz="4" w:space="0" w:color="auto"/>
            </w:tcBorders>
            <w:vAlign w:val="center"/>
          </w:tcPr>
          <w:p w14:paraId="76E0F252" w14:textId="77777777" w:rsidR="00145FA6" w:rsidRPr="00145FA6" w:rsidRDefault="00145FA6" w:rsidP="00145FA6">
            <w:pPr>
              <w:spacing w:after="3"/>
              <w:ind w:left="-5" w:hanging="10"/>
              <w:rPr>
                <w:rFonts w:asciiTheme="majorBidi" w:hAnsiTheme="majorBidi" w:cstheme="majorBidi"/>
                <w:lang w:val="en-AE"/>
              </w:rPr>
            </w:pPr>
          </w:p>
        </w:tc>
        <w:tc>
          <w:tcPr>
            <w:tcW w:w="1884" w:type="dxa"/>
            <w:tcBorders>
              <w:top w:val="single" w:sz="4" w:space="0" w:color="auto"/>
              <w:left w:val="single" w:sz="4" w:space="0" w:color="auto"/>
              <w:bottom w:val="single" w:sz="4" w:space="0" w:color="auto"/>
              <w:right w:val="single" w:sz="4" w:space="0" w:color="auto"/>
            </w:tcBorders>
            <w:vAlign w:val="center"/>
          </w:tcPr>
          <w:p w14:paraId="2EBD2F7F" w14:textId="77777777" w:rsidR="00145FA6" w:rsidRPr="00145FA6" w:rsidRDefault="00145FA6" w:rsidP="00145FA6">
            <w:pPr>
              <w:spacing w:after="3"/>
              <w:ind w:left="-5" w:hanging="10"/>
              <w:rPr>
                <w:rFonts w:asciiTheme="majorBidi" w:hAnsiTheme="majorBidi" w:cstheme="majorBidi"/>
                <w:lang w:val="en-AE"/>
              </w:rPr>
            </w:pPr>
          </w:p>
        </w:tc>
        <w:tc>
          <w:tcPr>
            <w:tcW w:w="1886" w:type="dxa"/>
            <w:tcBorders>
              <w:top w:val="single" w:sz="4" w:space="0" w:color="auto"/>
              <w:left w:val="single" w:sz="4" w:space="0" w:color="auto"/>
              <w:bottom w:val="single" w:sz="4" w:space="0" w:color="auto"/>
              <w:right w:val="single" w:sz="4" w:space="0" w:color="auto"/>
            </w:tcBorders>
            <w:vAlign w:val="center"/>
          </w:tcPr>
          <w:p w14:paraId="2AD3F0C8" w14:textId="77777777" w:rsidR="00145FA6" w:rsidRPr="00145FA6" w:rsidRDefault="00145FA6" w:rsidP="00145FA6">
            <w:pPr>
              <w:spacing w:after="3"/>
              <w:ind w:left="-5" w:hanging="10"/>
              <w:rPr>
                <w:rFonts w:asciiTheme="majorBidi" w:hAnsiTheme="majorBidi" w:cstheme="majorBidi"/>
                <w:lang w:val="en-AE"/>
              </w:rPr>
            </w:pPr>
          </w:p>
        </w:tc>
        <w:tc>
          <w:tcPr>
            <w:tcW w:w="1886" w:type="dxa"/>
            <w:tcBorders>
              <w:top w:val="single" w:sz="4" w:space="0" w:color="auto"/>
              <w:left w:val="single" w:sz="4" w:space="0" w:color="auto"/>
              <w:bottom w:val="single" w:sz="4" w:space="0" w:color="auto"/>
              <w:right w:val="single" w:sz="4" w:space="0" w:color="auto"/>
            </w:tcBorders>
            <w:vAlign w:val="center"/>
          </w:tcPr>
          <w:p w14:paraId="1FC8F3BD" w14:textId="77777777" w:rsidR="00145FA6" w:rsidRPr="00145FA6" w:rsidRDefault="00145FA6" w:rsidP="00145FA6">
            <w:pPr>
              <w:spacing w:after="3"/>
              <w:ind w:left="-5" w:hanging="10"/>
              <w:rPr>
                <w:rFonts w:asciiTheme="majorBidi" w:hAnsiTheme="majorBidi" w:cstheme="majorBidi"/>
                <w:lang w:val="en-AE"/>
              </w:rPr>
            </w:pPr>
          </w:p>
        </w:tc>
      </w:tr>
      <w:tr w:rsidR="00145FA6" w:rsidRPr="00145FA6" w14:paraId="2D2F54C1" w14:textId="77777777" w:rsidTr="00145FA6">
        <w:trPr>
          <w:trHeight w:val="50"/>
        </w:trPr>
        <w:tc>
          <w:tcPr>
            <w:tcW w:w="1884" w:type="dxa"/>
            <w:tcBorders>
              <w:top w:val="single" w:sz="4" w:space="0" w:color="auto"/>
              <w:left w:val="single" w:sz="4" w:space="0" w:color="auto"/>
              <w:bottom w:val="single" w:sz="4" w:space="0" w:color="auto"/>
              <w:right w:val="single" w:sz="4" w:space="0" w:color="auto"/>
            </w:tcBorders>
            <w:vAlign w:val="center"/>
            <w:hideMark/>
          </w:tcPr>
          <w:p w14:paraId="2D10C921"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lang w:val="en-AE"/>
              </w:rPr>
              <w:t>2.</w:t>
            </w:r>
          </w:p>
        </w:tc>
        <w:tc>
          <w:tcPr>
            <w:tcW w:w="1884" w:type="dxa"/>
            <w:tcBorders>
              <w:top w:val="single" w:sz="4" w:space="0" w:color="auto"/>
              <w:left w:val="single" w:sz="4" w:space="0" w:color="auto"/>
              <w:bottom w:val="single" w:sz="4" w:space="0" w:color="auto"/>
              <w:right w:val="single" w:sz="4" w:space="0" w:color="auto"/>
            </w:tcBorders>
            <w:vAlign w:val="center"/>
          </w:tcPr>
          <w:p w14:paraId="7800C822" w14:textId="77777777" w:rsidR="00145FA6" w:rsidRPr="00145FA6" w:rsidRDefault="00145FA6" w:rsidP="00145FA6">
            <w:pPr>
              <w:spacing w:after="3"/>
              <w:ind w:left="-5" w:hanging="10"/>
              <w:rPr>
                <w:rFonts w:asciiTheme="majorBidi" w:hAnsiTheme="majorBidi" w:cstheme="majorBidi"/>
                <w:lang w:val="en-AE"/>
              </w:rPr>
            </w:pPr>
          </w:p>
        </w:tc>
        <w:tc>
          <w:tcPr>
            <w:tcW w:w="1884" w:type="dxa"/>
            <w:tcBorders>
              <w:top w:val="single" w:sz="4" w:space="0" w:color="auto"/>
              <w:left w:val="single" w:sz="4" w:space="0" w:color="auto"/>
              <w:bottom w:val="single" w:sz="4" w:space="0" w:color="auto"/>
              <w:right w:val="single" w:sz="4" w:space="0" w:color="auto"/>
            </w:tcBorders>
            <w:vAlign w:val="center"/>
          </w:tcPr>
          <w:p w14:paraId="510AB5B0" w14:textId="77777777" w:rsidR="00145FA6" w:rsidRPr="00145FA6" w:rsidRDefault="00145FA6" w:rsidP="00145FA6">
            <w:pPr>
              <w:spacing w:after="3"/>
              <w:ind w:left="-5" w:hanging="10"/>
              <w:rPr>
                <w:rFonts w:asciiTheme="majorBidi" w:hAnsiTheme="majorBidi" w:cstheme="majorBidi"/>
                <w:lang w:val="en-AE"/>
              </w:rPr>
            </w:pPr>
          </w:p>
        </w:tc>
        <w:tc>
          <w:tcPr>
            <w:tcW w:w="1886" w:type="dxa"/>
            <w:tcBorders>
              <w:top w:val="single" w:sz="4" w:space="0" w:color="auto"/>
              <w:left w:val="single" w:sz="4" w:space="0" w:color="auto"/>
              <w:bottom w:val="single" w:sz="4" w:space="0" w:color="auto"/>
              <w:right w:val="single" w:sz="4" w:space="0" w:color="auto"/>
            </w:tcBorders>
            <w:vAlign w:val="center"/>
          </w:tcPr>
          <w:p w14:paraId="22E90C29" w14:textId="77777777" w:rsidR="00145FA6" w:rsidRPr="00145FA6" w:rsidRDefault="00145FA6" w:rsidP="00145FA6">
            <w:pPr>
              <w:spacing w:after="3"/>
              <w:ind w:left="-5" w:hanging="10"/>
              <w:rPr>
                <w:rFonts w:asciiTheme="majorBidi" w:hAnsiTheme="majorBidi" w:cstheme="majorBidi"/>
                <w:lang w:val="en-AE"/>
              </w:rPr>
            </w:pPr>
          </w:p>
        </w:tc>
        <w:tc>
          <w:tcPr>
            <w:tcW w:w="1886" w:type="dxa"/>
            <w:tcBorders>
              <w:top w:val="single" w:sz="4" w:space="0" w:color="auto"/>
              <w:left w:val="single" w:sz="4" w:space="0" w:color="auto"/>
              <w:bottom w:val="single" w:sz="4" w:space="0" w:color="auto"/>
              <w:right w:val="single" w:sz="4" w:space="0" w:color="auto"/>
            </w:tcBorders>
            <w:vAlign w:val="center"/>
          </w:tcPr>
          <w:p w14:paraId="618457F6" w14:textId="77777777" w:rsidR="00145FA6" w:rsidRPr="00145FA6" w:rsidRDefault="00145FA6" w:rsidP="00145FA6">
            <w:pPr>
              <w:spacing w:after="3"/>
              <w:ind w:left="-5" w:hanging="10"/>
              <w:rPr>
                <w:rFonts w:asciiTheme="majorBidi" w:hAnsiTheme="majorBidi" w:cstheme="majorBidi"/>
                <w:lang w:val="en-AE"/>
              </w:rPr>
            </w:pPr>
          </w:p>
        </w:tc>
      </w:tr>
      <w:tr w:rsidR="00145FA6" w:rsidRPr="00145FA6" w14:paraId="5287A4AC" w14:textId="77777777" w:rsidTr="00145FA6">
        <w:trPr>
          <w:trHeight w:val="50"/>
        </w:trPr>
        <w:tc>
          <w:tcPr>
            <w:tcW w:w="1884" w:type="dxa"/>
            <w:tcBorders>
              <w:top w:val="single" w:sz="4" w:space="0" w:color="auto"/>
              <w:left w:val="single" w:sz="4" w:space="0" w:color="auto"/>
              <w:bottom w:val="single" w:sz="4" w:space="0" w:color="auto"/>
              <w:right w:val="single" w:sz="4" w:space="0" w:color="auto"/>
            </w:tcBorders>
            <w:vAlign w:val="center"/>
            <w:hideMark/>
          </w:tcPr>
          <w:p w14:paraId="0BD34888"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lang w:val="en-AE"/>
              </w:rPr>
              <w:t>3.</w:t>
            </w:r>
          </w:p>
        </w:tc>
        <w:tc>
          <w:tcPr>
            <w:tcW w:w="1884" w:type="dxa"/>
            <w:tcBorders>
              <w:top w:val="single" w:sz="4" w:space="0" w:color="auto"/>
              <w:left w:val="single" w:sz="4" w:space="0" w:color="auto"/>
              <w:bottom w:val="single" w:sz="4" w:space="0" w:color="auto"/>
              <w:right w:val="single" w:sz="4" w:space="0" w:color="auto"/>
            </w:tcBorders>
            <w:vAlign w:val="center"/>
          </w:tcPr>
          <w:p w14:paraId="439249C5" w14:textId="77777777" w:rsidR="00145FA6" w:rsidRPr="00145FA6" w:rsidRDefault="00145FA6" w:rsidP="00145FA6">
            <w:pPr>
              <w:spacing w:after="3"/>
              <w:ind w:left="-5" w:hanging="10"/>
              <w:rPr>
                <w:rFonts w:asciiTheme="majorBidi" w:hAnsiTheme="majorBidi" w:cstheme="majorBidi"/>
                <w:lang w:val="en-AE"/>
              </w:rPr>
            </w:pPr>
          </w:p>
        </w:tc>
        <w:tc>
          <w:tcPr>
            <w:tcW w:w="1884" w:type="dxa"/>
            <w:tcBorders>
              <w:top w:val="single" w:sz="4" w:space="0" w:color="auto"/>
              <w:left w:val="single" w:sz="4" w:space="0" w:color="auto"/>
              <w:bottom w:val="single" w:sz="4" w:space="0" w:color="auto"/>
              <w:right w:val="single" w:sz="4" w:space="0" w:color="auto"/>
            </w:tcBorders>
            <w:vAlign w:val="center"/>
          </w:tcPr>
          <w:p w14:paraId="5E24E587" w14:textId="77777777" w:rsidR="00145FA6" w:rsidRPr="00145FA6" w:rsidRDefault="00145FA6" w:rsidP="00145FA6">
            <w:pPr>
              <w:spacing w:after="3"/>
              <w:ind w:left="-5" w:hanging="10"/>
              <w:rPr>
                <w:rFonts w:asciiTheme="majorBidi" w:hAnsiTheme="majorBidi" w:cstheme="majorBidi"/>
                <w:lang w:val="en-AE"/>
              </w:rPr>
            </w:pPr>
          </w:p>
        </w:tc>
        <w:tc>
          <w:tcPr>
            <w:tcW w:w="1886" w:type="dxa"/>
            <w:tcBorders>
              <w:top w:val="single" w:sz="4" w:space="0" w:color="auto"/>
              <w:left w:val="single" w:sz="4" w:space="0" w:color="auto"/>
              <w:bottom w:val="single" w:sz="4" w:space="0" w:color="auto"/>
              <w:right w:val="single" w:sz="4" w:space="0" w:color="auto"/>
            </w:tcBorders>
            <w:vAlign w:val="center"/>
          </w:tcPr>
          <w:p w14:paraId="48865983" w14:textId="77777777" w:rsidR="00145FA6" w:rsidRPr="00145FA6" w:rsidRDefault="00145FA6" w:rsidP="00145FA6">
            <w:pPr>
              <w:spacing w:after="3"/>
              <w:ind w:left="-5" w:hanging="10"/>
              <w:rPr>
                <w:rFonts w:asciiTheme="majorBidi" w:hAnsiTheme="majorBidi" w:cstheme="majorBidi"/>
                <w:lang w:val="en-AE"/>
              </w:rPr>
            </w:pPr>
          </w:p>
        </w:tc>
        <w:tc>
          <w:tcPr>
            <w:tcW w:w="1886" w:type="dxa"/>
            <w:tcBorders>
              <w:top w:val="single" w:sz="4" w:space="0" w:color="auto"/>
              <w:left w:val="single" w:sz="4" w:space="0" w:color="auto"/>
              <w:bottom w:val="single" w:sz="4" w:space="0" w:color="auto"/>
              <w:right w:val="single" w:sz="4" w:space="0" w:color="auto"/>
            </w:tcBorders>
            <w:vAlign w:val="center"/>
          </w:tcPr>
          <w:p w14:paraId="6524DEE3" w14:textId="77777777" w:rsidR="00145FA6" w:rsidRPr="00145FA6" w:rsidRDefault="00145FA6" w:rsidP="00145FA6">
            <w:pPr>
              <w:spacing w:after="3"/>
              <w:ind w:left="-5" w:hanging="10"/>
              <w:rPr>
                <w:rFonts w:asciiTheme="majorBidi" w:hAnsiTheme="majorBidi" w:cstheme="majorBidi"/>
                <w:lang w:val="en-AE"/>
              </w:rPr>
            </w:pPr>
          </w:p>
        </w:tc>
      </w:tr>
      <w:tr w:rsidR="00145FA6" w:rsidRPr="00145FA6" w14:paraId="718B0EE2" w14:textId="77777777" w:rsidTr="00145FA6">
        <w:trPr>
          <w:trHeight w:val="50"/>
        </w:trPr>
        <w:tc>
          <w:tcPr>
            <w:tcW w:w="1884" w:type="dxa"/>
            <w:tcBorders>
              <w:top w:val="single" w:sz="4" w:space="0" w:color="auto"/>
              <w:left w:val="single" w:sz="4" w:space="0" w:color="auto"/>
              <w:bottom w:val="single" w:sz="4" w:space="0" w:color="auto"/>
              <w:right w:val="single" w:sz="4" w:space="0" w:color="auto"/>
            </w:tcBorders>
            <w:vAlign w:val="center"/>
            <w:hideMark/>
          </w:tcPr>
          <w:p w14:paraId="38C53E24" w14:textId="77777777" w:rsidR="00145FA6" w:rsidRPr="00145FA6" w:rsidRDefault="00145FA6" w:rsidP="00145FA6">
            <w:pPr>
              <w:spacing w:after="3"/>
              <w:ind w:left="-5" w:hanging="10"/>
              <w:rPr>
                <w:rFonts w:asciiTheme="majorBidi" w:hAnsiTheme="majorBidi" w:cstheme="majorBidi"/>
                <w:lang w:val="en-AE"/>
              </w:rPr>
            </w:pPr>
            <w:r>
              <w:rPr>
                <w:rFonts w:asciiTheme="majorBidi" w:hAnsiTheme="majorBidi" w:cstheme="majorBidi"/>
                <w:lang w:val="en-AE"/>
              </w:rPr>
              <w:t>(Add more rows as needed)</w:t>
            </w:r>
          </w:p>
        </w:tc>
        <w:tc>
          <w:tcPr>
            <w:tcW w:w="1884" w:type="dxa"/>
            <w:tcBorders>
              <w:top w:val="single" w:sz="4" w:space="0" w:color="auto"/>
              <w:left w:val="single" w:sz="4" w:space="0" w:color="auto"/>
              <w:bottom w:val="single" w:sz="4" w:space="0" w:color="auto"/>
              <w:right w:val="single" w:sz="4" w:space="0" w:color="auto"/>
            </w:tcBorders>
            <w:vAlign w:val="center"/>
          </w:tcPr>
          <w:p w14:paraId="01EDB4E3" w14:textId="77777777" w:rsidR="00145FA6" w:rsidRPr="00145FA6" w:rsidRDefault="00145FA6" w:rsidP="00145FA6">
            <w:pPr>
              <w:spacing w:after="3"/>
              <w:ind w:left="-5" w:hanging="10"/>
              <w:rPr>
                <w:rFonts w:asciiTheme="majorBidi" w:hAnsiTheme="majorBidi" w:cstheme="majorBidi"/>
                <w:lang w:val="en-AE"/>
              </w:rPr>
            </w:pPr>
          </w:p>
        </w:tc>
        <w:tc>
          <w:tcPr>
            <w:tcW w:w="1884" w:type="dxa"/>
            <w:tcBorders>
              <w:top w:val="single" w:sz="4" w:space="0" w:color="auto"/>
              <w:left w:val="single" w:sz="4" w:space="0" w:color="auto"/>
              <w:bottom w:val="single" w:sz="4" w:space="0" w:color="auto"/>
              <w:right w:val="single" w:sz="4" w:space="0" w:color="auto"/>
            </w:tcBorders>
            <w:vAlign w:val="center"/>
          </w:tcPr>
          <w:p w14:paraId="174118B9" w14:textId="77777777" w:rsidR="00145FA6" w:rsidRPr="00145FA6" w:rsidRDefault="00145FA6" w:rsidP="00145FA6">
            <w:pPr>
              <w:spacing w:after="3"/>
              <w:ind w:left="-5" w:hanging="10"/>
              <w:rPr>
                <w:rFonts w:asciiTheme="majorBidi" w:hAnsiTheme="majorBidi" w:cstheme="majorBidi"/>
                <w:lang w:val="en-AE"/>
              </w:rPr>
            </w:pPr>
          </w:p>
        </w:tc>
        <w:tc>
          <w:tcPr>
            <w:tcW w:w="1886" w:type="dxa"/>
            <w:tcBorders>
              <w:top w:val="single" w:sz="4" w:space="0" w:color="auto"/>
              <w:left w:val="single" w:sz="4" w:space="0" w:color="auto"/>
              <w:bottom w:val="single" w:sz="4" w:space="0" w:color="auto"/>
              <w:right w:val="single" w:sz="4" w:space="0" w:color="auto"/>
            </w:tcBorders>
            <w:vAlign w:val="center"/>
          </w:tcPr>
          <w:p w14:paraId="375E23C9" w14:textId="77777777" w:rsidR="00145FA6" w:rsidRPr="00145FA6" w:rsidRDefault="00145FA6" w:rsidP="00145FA6">
            <w:pPr>
              <w:spacing w:after="3"/>
              <w:ind w:left="-5" w:hanging="10"/>
              <w:rPr>
                <w:rFonts w:asciiTheme="majorBidi" w:hAnsiTheme="majorBidi" w:cstheme="majorBidi"/>
                <w:lang w:val="en-AE"/>
              </w:rPr>
            </w:pPr>
          </w:p>
        </w:tc>
        <w:tc>
          <w:tcPr>
            <w:tcW w:w="1886" w:type="dxa"/>
            <w:tcBorders>
              <w:top w:val="single" w:sz="4" w:space="0" w:color="auto"/>
              <w:left w:val="single" w:sz="4" w:space="0" w:color="auto"/>
              <w:bottom w:val="single" w:sz="4" w:space="0" w:color="auto"/>
              <w:right w:val="single" w:sz="4" w:space="0" w:color="auto"/>
            </w:tcBorders>
            <w:vAlign w:val="center"/>
          </w:tcPr>
          <w:p w14:paraId="318FB7CD" w14:textId="77777777" w:rsidR="00145FA6" w:rsidRPr="00145FA6" w:rsidRDefault="00145FA6" w:rsidP="00145FA6">
            <w:pPr>
              <w:spacing w:after="3"/>
              <w:ind w:left="-5" w:hanging="10"/>
              <w:rPr>
                <w:rFonts w:asciiTheme="majorBidi" w:hAnsiTheme="majorBidi" w:cstheme="majorBidi"/>
                <w:lang w:val="en-AE"/>
              </w:rPr>
            </w:pPr>
          </w:p>
        </w:tc>
      </w:tr>
    </w:tbl>
    <w:p w14:paraId="7EC6E504" w14:textId="77777777" w:rsidR="00145FA6" w:rsidRPr="00145FA6" w:rsidRDefault="00145FA6" w:rsidP="00145FA6">
      <w:pPr>
        <w:spacing w:after="3"/>
        <w:ind w:left="-5" w:hanging="10"/>
        <w:rPr>
          <w:rFonts w:asciiTheme="majorBidi" w:hAnsiTheme="majorBidi" w:cstheme="majorBidi"/>
          <w:b/>
          <w:bCs/>
        </w:rPr>
      </w:pPr>
    </w:p>
    <w:p w14:paraId="2F4CC077" w14:textId="77777777" w:rsidR="00145FA6" w:rsidRPr="00145FA6" w:rsidRDefault="00145FA6" w:rsidP="00145FA6">
      <w:pPr>
        <w:spacing w:after="3"/>
        <w:ind w:left="-5" w:hanging="10"/>
        <w:rPr>
          <w:rFonts w:asciiTheme="majorBidi" w:hAnsiTheme="majorBidi" w:cstheme="majorBidi"/>
          <w:b/>
          <w:bCs/>
        </w:rPr>
      </w:pPr>
      <w:r>
        <w:rPr>
          <w:rFonts w:asciiTheme="majorBidi" w:hAnsiTheme="majorBidi" w:cstheme="majorBidi"/>
          <w:b/>
          <w:bCs/>
        </w:rPr>
        <w:t>Certification:</w:t>
      </w:r>
    </w:p>
    <w:p w14:paraId="2E80725E" w14:textId="77777777" w:rsidR="00145FA6" w:rsidRPr="00145FA6" w:rsidRDefault="00145FA6" w:rsidP="00145FA6">
      <w:pPr>
        <w:spacing w:after="3"/>
        <w:ind w:left="-5" w:hanging="10"/>
        <w:rPr>
          <w:rFonts w:asciiTheme="majorBidi" w:hAnsiTheme="majorBidi" w:cstheme="majorBidi"/>
        </w:rPr>
      </w:pPr>
      <w:r>
        <w:rPr>
          <w:rFonts w:asciiTheme="majorBidi" w:hAnsiTheme="majorBidi" w:cstheme="majorBidi"/>
        </w:rPr>
        <w:t>I confirm that all information provided in this declaration is accurate and complete to the best of my knowledge. I understand that any false declaration or undisclosed use of AI will be treated as academic misconduct and subject to disciplinary action as per BUiD's Academic Integrity Policy. I have critically reviewed all AI-generated content and take full responsibility for its accuracy, originality, and integration into my work.</w:t>
      </w:r>
    </w:p>
    <w:p w14:paraId="10B05186" w14:textId="77777777" w:rsidR="00145FA6" w:rsidRPr="00145FA6" w:rsidRDefault="00145FA6" w:rsidP="00145FA6">
      <w:pPr>
        <w:spacing w:after="3"/>
        <w:ind w:left="-5" w:hanging="10"/>
        <w:rPr>
          <w:rFonts w:asciiTheme="majorBidi" w:hAnsiTheme="majorBidi" w:cstheme="majorBidi"/>
        </w:rPr>
      </w:pPr>
    </w:p>
    <w:p w14:paraId="57343F32" w14:textId="77777777" w:rsidR="00145FA6" w:rsidRPr="00145FA6" w:rsidRDefault="00145FA6" w:rsidP="00145FA6">
      <w:pPr>
        <w:spacing w:after="3"/>
        <w:ind w:left="-5" w:hanging="10"/>
        <w:rPr>
          <w:rFonts w:asciiTheme="majorBidi" w:hAnsiTheme="majorBidi" w:cstheme="majorBidi"/>
        </w:rPr>
      </w:pPr>
      <w:r>
        <w:rPr>
          <w:rFonts w:asciiTheme="majorBidi" w:hAnsiTheme="majorBidi" w:cstheme="majorBidi"/>
        </w:rPr>
        <w:t>Signature: _________________________</w:t>
      </w:r>
    </w:p>
    <w:p w14:paraId="0A693FE1" w14:textId="77777777" w:rsidR="00145FA6" w:rsidRPr="008819FD" w:rsidRDefault="00145FA6" w:rsidP="00145FA6">
      <w:pPr>
        <w:spacing w:after="3"/>
        <w:ind w:left="-5" w:hanging="10"/>
        <w:rPr>
          <w:rFonts w:asciiTheme="majorBidi" w:hAnsiTheme="majorBidi" w:cstheme="majorBidi"/>
        </w:rPr>
      </w:pPr>
      <w:r>
        <w:rPr>
          <w:rFonts w:asciiTheme="majorBidi" w:hAnsiTheme="majorBidi" w:cstheme="majorBidi"/>
        </w:rPr>
        <w:t>Date: _________________________</w:t>
      </w:r>
    </w:p>
    <w:p w14:paraId="02C43EA2" w14:textId="77777777" w:rsidR="00F44719" w:rsidRPr="008819FD" w:rsidRDefault="00F44719" w:rsidP="008819FD">
      <w:pPr>
        <w:spacing w:after="3"/>
        <w:rPr>
          <w:rFonts w:asciiTheme="majorBidi" w:hAnsiTheme="majorBidi" w:cstheme="majorBidi"/>
        </w:rPr>
      </w:pPr>
    </w:p>
    <w:p w14:paraId="3DA3808D" w14:textId="77777777" w:rsidR="00F073C0" w:rsidRPr="008819FD" w:rsidRDefault="00F073C0" w:rsidP="00A94B2B">
      <w:pPr>
        <w:autoSpaceDE w:val="0"/>
        <w:autoSpaceDN w:val="0"/>
        <w:adjustRightInd w:val="0"/>
        <w:spacing w:after="0" w:line="240" w:lineRule="auto"/>
        <w:jc w:val="center"/>
        <w:rPr>
          <w:rFonts w:asciiTheme="majorBidi" w:hAnsiTheme="majorBidi" w:cstheme="majorBidi"/>
          <w:b/>
          <w:bCs/>
          <w:lang w:val="en-GB"/>
        </w:rPr>
      </w:pPr>
      <w:r>
        <w:rPr>
          <w:rFonts w:asciiTheme="majorBidi" w:hAnsiTheme="majorBidi" w:cstheme="majorBidi"/>
          <w:b/>
          <w:bCs/>
          <w:lang w:val="en-GB"/>
        </w:rPr>
        <w:t>Declaration</w:t>
      </w:r>
    </w:p>
    <w:p w14:paraId="448787CD" w14:textId="77777777" w:rsidR="00A94B2B" w:rsidRPr="008819FD" w:rsidRDefault="00A94B2B" w:rsidP="0099552A">
      <w:pPr>
        <w:autoSpaceDE w:val="0"/>
        <w:autoSpaceDN w:val="0"/>
        <w:adjustRightInd w:val="0"/>
        <w:spacing w:after="0" w:line="240" w:lineRule="auto"/>
        <w:rPr>
          <w:rFonts w:asciiTheme="majorBidi" w:hAnsiTheme="majorBidi" w:cstheme="majorBidi"/>
          <w:b/>
          <w:bCs/>
          <w:lang w:val="en-GB"/>
        </w:rPr>
      </w:pPr>
    </w:p>
    <w:p w14:paraId="1E71A781" w14:textId="77777777" w:rsidR="00F073C0" w:rsidRPr="008819FD" w:rsidRDefault="00F073C0" w:rsidP="00055880">
      <w:pPr>
        <w:spacing w:after="0" w:line="480" w:lineRule="auto"/>
        <w:ind w:firstLine="720"/>
        <w:rPr>
          <w:rFonts w:asciiTheme="majorBidi" w:hAnsiTheme="majorBidi" w:cstheme="majorBidi"/>
        </w:rPr>
      </w:pPr>
      <w:r>
        <w:rPr>
          <w:rFonts w:asciiTheme="majorBidi" w:hAnsiTheme="majorBidi" w:cstheme="majorBidi"/>
        </w:rPr>
        <w:t>I certify that this dissertation is entirely my own original work and has been prepared independently. No part of this work has been submitted previously for the award of any degree or qualification at this or any other academic institution. All sources consulted, whether published, unpublished, or in electronic form, have been appropriately cited and acknowledged in accordance with internationally recognised academic and copyright standards.</w:t>
      </w:r>
    </w:p>
    <w:p w14:paraId="0933C626" w14:textId="77777777" w:rsidR="00F073C0" w:rsidRPr="008819FD" w:rsidRDefault="00F073C0" w:rsidP="00055880">
      <w:pPr>
        <w:spacing w:after="0" w:line="480" w:lineRule="auto"/>
        <w:ind w:firstLine="720"/>
        <w:rPr>
          <w:rFonts w:asciiTheme="majorBidi" w:hAnsiTheme="majorBidi" w:cstheme="majorBidi"/>
        </w:rPr>
      </w:pPr>
      <w:r>
        <w:rPr>
          <w:rFonts w:asciiTheme="majorBidi" w:hAnsiTheme="majorBidi" w:cstheme="majorBidi"/>
        </w:rPr>
        <w:t>I confirm that this dissertation complies with the University’s regulations on academic integrity, ethical research conduct, and plagiarism. Any assistance received in the preparation of this work has been fully disclosed, and the contribution of others, where applicable, has been clearly identified.</w:t>
      </w:r>
    </w:p>
    <w:p w14:paraId="224561D2" w14:textId="77777777" w:rsidR="00F073C0" w:rsidRPr="008819FD" w:rsidRDefault="00F073C0" w:rsidP="00055880">
      <w:pPr>
        <w:spacing w:after="0" w:line="480" w:lineRule="auto"/>
        <w:ind w:firstLine="720"/>
        <w:rPr>
          <w:rFonts w:asciiTheme="majorBidi" w:hAnsiTheme="majorBidi" w:cstheme="majorBidi"/>
        </w:rPr>
      </w:pPr>
      <w:r>
        <w:rPr>
          <w:rFonts w:asciiTheme="majorBidi" w:hAnsiTheme="majorBidi" w:cstheme="majorBidi"/>
        </w:rPr>
        <w:t>I acknowledge that a copy of this dissertation will be deposited in the University Library and retained permanently as part of the institutional academic record.</w:t>
      </w:r>
    </w:p>
    <w:p w14:paraId="5AC669BD" w14:textId="77777777" w:rsidR="00F073C0" w:rsidRPr="008819FD" w:rsidRDefault="00F073C0" w:rsidP="00055880">
      <w:pPr>
        <w:spacing w:after="0" w:line="480" w:lineRule="auto"/>
        <w:ind w:firstLine="720"/>
        <w:rPr>
          <w:rFonts w:asciiTheme="majorBidi" w:hAnsiTheme="majorBidi" w:cstheme="majorBidi"/>
        </w:rPr>
      </w:pPr>
      <w:r>
        <w:rPr>
          <w:rFonts w:asciiTheme="majorBidi" w:hAnsiTheme="majorBidi" w:cstheme="majorBidi"/>
        </w:rPr>
        <w:t>I grant The British University in Dubai, as the awarding institution, a non-exclusive licence to reproduce, store, and distribute this dissertation, in whole or in part, for the purposes of research, private study, teaching, and other non-commercial academic activities. I understand that the University may recover reasonable costs incurred in the reproduction and dissemination of this work, where appropriate.</w:t>
      </w:r>
    </w:p>
    <w:p w14:paraId="08D35733" w14:textId="77777777" w:rsidR="00F073C0" w:rsidRPr="008819FD" w:rsidRDefault="00F073C0" w:rsidP="00055880">
      <w:pPr>
        <w:spacing w:after="0" w:line="480" w:lineRule="auto"/>
        <w:ind w:firstLine="720"/>
        <w:rPr>
          <w:rFonts w:asciiTheme="majorBidi" w:hAnsiTheme="majorBidi" w:cstheme="majorBidi"/>
        </w:rPr>
      </w:pPr>
      <w:r>
        <w:rPr>
          <w:rFonts w:asciiTheme="majorBidi" w:hAnsiTheme="majorBidi" w:cstheme="majorBidi"/>
        </w:rPr>
        <w:t xml:space="preserve">I further acknowledge that the University reserves the right to restrict or withhold public access to this dissertation for a specified period, which shall not normally exceed four calendar years from the date on which the degree is conferred. Any request for such a </w:t>
      </w:r>
      <w:r>
        <w:rPr>
          <w:rFonts w:asciiTheme="majorBidi" w:hAnsiTheme="majorBidi" w:cstheme="majorBidi"/>
        </w:rPr>
        <w:lastRenderedPageBreak/>
        <w:t>restriction shall be made formally and supported by clearly stated academic, legal, or commercial reasons.</w:t>
      </w:r>
    </w:p>
    <w:p w14:paraId="2EC4E358" w14:textId="77777777" w:rsidR="00F073C0" w:rsidRPr="008819FD" w:rsidRDefault="00F073C0" w:rsidP="00055880">
      <w:pPr>
        <w:spacing w:after="0" w:line="480" w:lineRule="auto"/>
        <w:ind w:firstLine="720"/>
        <w:rPr>
          <w:rFonts w:asciiTheme="majorBidi" w:hAnsiTheme="majorBidi" w:cstheme="majorBidi"/>
        </w:rPr>
      </w:pPr>
      <w:r>
        <w:rPr>
          <w:rFonts w:asciiTheme="majorBidi" w:hAnsiTheme="majorBidi" w:cstheme="majorBidi"/>
        </w:rPr>
        <w:t>I understand that, following the expiry of any approved restriction period, this dissertation may be made publicly accessible in accordance with the University’s policies and applicable legal requirements.</w:t>
      </w:r>
    </w:p>
    <w:p w14:paraId="52527A10" w14:textId="77777777" w:rsidR="00A94B2B" w:rsidRPr="008819FD" w:rsidRDefault="00A94B2B" w:rsidP="00A94B2B">
      <w:pPr>
        <w:spacing w:after="0" w:line="480" w:lineRule="auto"/>
        <w:jc w:val="both"/>
        <w:rPr>
          <w:rFonts w:asciiTheme="majorBidi" w:hAnsiTheme="majorBidi" w:cstheme="majorBidi"/>
        </w:rPr>
      </w:pPr>
    </w:p>
    <w:p w14:paraId="4121A283" w14:textId="77777777" w:rsidR="00A94B2B" w:rsidRPr="008819FD" w:rsidRDefault="00A94B2B" w:rsidP="00A94B2B">
      <w:pPr>
        <w:spacing w:after="0" w:line="480" w:lineRule="auto"/>
        <w:jc w:val="both"/>
        <w:rPr>
          <w:rFonts w:asciiTheme="majorBidi" w:hAnsiTheme="majorBidi" w:cstheme="majorBidi"/>
        </w:rPr>
      </w:pPr>
    </w:p>
    <w:p w14:paraId="4264483E" w14:textId="77777777" w:rsidR="00255684" w:rsidRPr="008819FD" w:rsidRDefault="00255684" w:rsidP="00A94B2B">
      <w:pPr>
        <w:spacing w:after="0" w:line="480" w:lineRule="auto"/>
        <w:jc w:val="both"/>
        <w:rPr>
          <w:rFonts w:asciiTheme="majorBidi" w:hAnsiTheme="majorBidi" w:cstheme="majorBidi"/>
          <w:rtl/>
        </w:rPr>
      </w:pPr>
    </w:p>
    <w:p w14:paraId="1C344566" w14:textId="77777777" w:rsidR="00757BED" w:rsidRPr="008819FD" w:rsidRDefault="00757BED" w:rsidP="00A94B2B">
      <w:pPr>
        <w:spacing w:after="0" w:line="480" w:lineRule="auto"/>
        <w:jc w:val="both"/>
        <w:rPr>
          <w:rFonts w:asciiTheme="majorBidi" w:hAnsiTheme="majorBidi" w:cstheme="majorBidi"/>
          <w:rtl/>
        </w:rPr>
      </w:pPr>
    </w:p>
    <w:p w14:paraId="1C57097D" w14:textId="77777777" w:rsidR="00757BED" w:rsidRPr="008819FD" w:rsidRDefault="00757BED" w:rsidP="00A94B2B">
      <w:pPr>
        <w:spacing w:after="0" w:line="480" w:lineRule="auto"/>
        <w:jc w:val="both"/>
        <w:rPr>
          <w:rFonts w:asciiTheme="majorBidi" w:hAnsiTheme="majorBidi" w:cstheme="majorBidi"/>
          <w:rtl/>
        </w:rPr>
      </w:pPr>
    </w:p>
    <w:p w14:paraId="5213B310" w14:textId="77777777" w:rsidR="00757BED" w:rsidRPr="008819FD" w:rsidRDefault="00757BED" w:rsidP="00A94B2B">
      <w:pPr>
        <w:spacing w:after="0" w:line="480" w:lineRule="auto"/>
        <w:jc w:val="both"/>
        <w:rPr>
          <w:rFonts w:asciiTheme="majorBidi" w:hAnsiTheme="majorBidi" w:cstheme="majorBidi"/>
          <w:rtl/>
        </w:rPr>
      </w:pPr>
    </w:p>
    <w:p w14:paraId="58C93E8F" w14:textId="77777777" w:rsidR="00757BED" w:rsidRPr="008819FD" w:rsidRDefault="00757BED" w:rsidP="00A94B2B">
      <w:pPr>
        <w:spacing w:after="0" w:line="480" w:lineRule="auto"/>
        <w:jc w:val="both"/>
        <w:rPr>
          <w:rFonts w:asciiTheme="majorBidi" w:hAnsiTheme="majorBidi" w:cstheme="majorBidi"/>
          <w:rtl/>
        </w:rPr>
      </w:pPr>
    </w:p>
    <w:p w14:paraId="3B71D44F" w14:textId="77777777" w:rsidR="00757BED" w:rsidRPr="008819FD" w:rsidRDefault="00757BED" w:rsidP="00A94B2B">
      <w:pPr>
        <w:spacing w:after="0" w:line="480" w:lineRule="auto"/>
        <w:jc w:val="both"/>
        <w:rPr>
          <w:rFonts w:asciiTheme="majorBidi" w:hAnsiTheme="majorBidi" w:cstheme="majorBidi"/>
          <w:rtl/>
        </w:rPr>
      </w:pPr>
    </w:p>
    <w:p w14:paraId="18EAA4CE" w14:textId="77777777" w:rsidR="00757BED" w:rsidRPr="008819FD" w:rsidRDefault="00757BED" w:rsidP="00A94B2B">
      <w:pPr>
        <w:spacing w:after="0" w:line="480" w:lineRule="auto"/>
        <w:jc w:val="both"/>
        <w:rPr>
          <w:rFonts w:asciiTheme="majorBidi" w:hAnsiTheme="majorBidi" w:cstheme="majorBidi"/>
          <w:rtl/>
        </w:rPr>
      </w:pPr>
    </w:p>
    <w:p w14:paraId="7CC13EF6" w14:textId="77777777" w:rsidR="00757BED" w:rsidRPr="008819FD" w:rsidRDefault="00757BED" w:rsidP="00A94B2B">
      <w:pPr>
        <w:spacing w:after="0" w:line="480" w:lineRule="auto"/>
        <w:jc w:val="both"/>
        <w:rPr>
          <w:rFonts w:asciiTheme="majorBidi" w:hAnsiTheme="majorBidi" w:cstheme="majorBidi"/>
          <w:rtl/>
        </w:rPr>
      </w:pPr>
    </w:p>
    <w:p w14:paraId="1C995230" w14:textId="77777777" w:rsidR="00757BED" w:rsidRPr="008819FD" w:rsidRDefault="00757BED" w:rsidP="00A94B2B">
      <w:pPr>
        <w:spacing w:after="0" w:line="480" w:lineRule="auto"/>
        <w:jc w:val="both"/>
        <w:rPr>
          <w:rFonts w:asciiTheme="majorBidi" w:hAnsiTheme="majorBidi" w:cstheme="majorBidi"/>
          <w:rtl/>
        </w:rPr>
      </w:pPr>
    </w:p>
    <w:p w14:paraId="40F2C7CA" w14:textId="77777777" w:rsidR="00757BED" w:rsidRPr="008819FD" w:rsidRDefault="00757BED" w:rsidP="00A94B2B">
      <w:pPr>
        <w:spacing w:after="0" w:line="480" w:lineRule="auto"/>
        <w:jc w:val="both"/>
        <w:rPr>
          <w:rFonts w:asciiTheme="majorBidi" w:hAnsiTheme="majorBidi" w:cstheme="majorBidi"/>
          <w:rtl/>
        </w:rPr>
      </w:pPr>
    </w:p>
    <w:p w14:paraId="3CE76DBE" w14:textId="77777777" w:rsidR="00757BED" w:rsidRPr="008819FD" w:rsidRDefault="00757BED" w:rsidP="00A94B2B">
      <w:pPr>
        <w:spacing w:after="0" w:line="480" w:lineRule="auto"/>
        <w:jc w:val="both"/>
        <w:rPr>
          <w:rFonts w:asciiTheme="majorBidi" w:hAnsiTheme="majorBidi" w:cstheme="majorBidi"/>
          <w:rtl/>
        </w:rPr>
      </w:pPr>
    </w:p>
    <w:p w14:paraId="1569F84E" w14:textId="77777777" w:rsidR="00757BED" w:rsidRPr="008819FD" w:rsidRDefault="00757BED" w:rsidP="00A94B2B">
      <w:pPr>
        <w:spacing w:after="0" w:line="480" w:lineRule="auto"/>
        <w:jc w:val="both"/>
        <w:rPr>
          <w:rFonts w:asciiTheme="majorBidi" w:hAnsiTheme="majorBidi" w:cstheme="majorBidi"/>
        </w:rPr>
      </w:pPr>
    </w:p>
    <w:p w14:paraId="1D67797E" w14:textId="77777777" w:rsidR="00F073C0" w:rsidRPr="008819FD" w:rsidRDefault="00F073C0" w:rsidP="00A94B2B">
      <w:pPr>
        <w:spacing w:before="0" w:after="160" w:line="259" w:lineRule="auto"/>
        <w:rPr>
          <w:rFonts w:asciiTheme="majorBidi" w:hAnsiTheme="majorBidi" w:cstheme="majorBidi"/>
          <w:lang w:val="en-GB"/>
        </w:rPr>
      </w:pPr>
    </w:p>
    <w:p w14:paraId="25AC903F" w14:textId="77777777" w:rsidR="00F073C0" w:rsidRPr="008819FD" w:rsidRDefault="00F073C0" w:rsidP="00F073C0">
      <w:pPr>
        <w:autoSpaceDE w:val="0"/>
        <w:autoSpaceDN w:val="0"/>
        <w:adjustRightInd w:val="0"/>
        <w:spacing w:after="0" w:line="240" w:lineRule="auto"/>
        <w:jc w:val="center"/>
        <w:rPr>
          <w:rFonts w:asciiTheme="majorBidi" w:hAnsiTheme="majorBidi" w:cstheme="majorBidi"/>
          <w:b/>
          <w:bCs/>
          <w:lang w:val="en-GB"/>
        </w:rPr>
      </w:pPr>
      <w:r>
        <w:rPr>
          <w:rFonts w:asciiTheme="majorBidi" w:hAnsiTheme="majorBidi" w:cstheme="majorBidi"/>
          <w:b/>
          <w:bCs/>
          <w:lang w:val="en-GB"/>
        </w:rPr>
        <w:lastRenderedPageBreak/>
        <w:t>Copyright and Information to Users</w:t>
      </w:r>
    </w:p>
    <w:p w14:paraId="68268093" w14:textId="77777777" w:rsidR="00F073C0" w:rsidRPr="008819FD" w:rsidRDefault="00F073C0" w:rsidP="00F073C0">
      <w:pPr>
        <w:autoSpaceDE w:val="0"/>
        <w:autoSpaceDN w:val="0"/>
        <w:adjustRightInd w:val="0"/>
        <w:spacing w:after="0" w:line="240" w:lineRule="auto"/>
        <w:jc w:val="center"/>
        <w:rPr>
          <w:rFonts w:asciiTheme="majorBidi" w:hAnsiTheme="majorBidi" w:cstheme="majorBidi"/>
          <w:b/>
          <w:bCs/>
          <w:lang w:val="en-GB"/>
        </w:rPr>
      </w:pPr>
    </w:p>
    <w:p w14:paraId="281F7061" w14:textId="77777777" w:rsidR="00F073C0" w:rsidRPr="008819FD" w:rsidRDefault="00F073C0" w:rsidP="00542767">
      <w:pPr>
        <w:spacing w:before="0" w:after="160" w:line="259" w:lineRule="auto"/>
        <w:ind w:firstLine="720"/>
        <w:rPr>
          <w:rFonts w:asciiTheme="majorBidi" w:hAnsiTheme="majorBidi" w:cstheme="majorBidi"/>
          <w:lang w:val="en-GB"/>
        </w:rPr>
      </w:pPr>
    </w:p>
    <w:p w14:paraId="5926FF12" w14:textId="77777777" w:rsidR="00F073C0" w:rsidRPr="008819FD" w:rsidRDefault="00F073C0" w:rsidP="00542767">
      <w:pPr>
        <w:spacing w:after="0" w:line="480" w:lineRule="auto"/>
        <w:ind w:firstLine="720"/>
        <w:rPr>
          <w:rFonts w:asciiTheme="majorBidi" w:hAnsiTheme="majorBidi" w:cstheme="majorBidi"/>
        </w:rPr>
      </w:pPr>
      <w:r>
        <w:rPr>
          <w:rFonts w:asciiTheme="majorBidi" w:hAnsiTheme="majorBidi" w:cstheme="majorBidi"/>
        </w:rPr>
        <w:t>The author identified on the title page of this work grants The British University in Dubai permission to make this research available to library users, including through open-access platforms, and to produce single or partial copies for purposes of education and scholarly research.</w:t>
      </w:r>
    </w:p>
    <w:p w14:paraId="48143A78" w14:textId="77777777" w:rsidR="00F073C0" w:rsidRPr="008819FD" w:rsidRDefault="00F073C0" w:rsidP="00542767">
      <w:pPr>
        <w:spacing w:after="0" w:line="480" w:lineRule="auto"/>
        <w:ind w:firstLine="720"/>
        <w:rPr>
          <w:rFonts w:asciiTheme="majorBidi" w:hAnsiTheme="majorBidi" w:cstheme="majorBidi"/>
        </w:rPr>
      </w:pPr>
      <w:r>
        <w:rPr>
          <w:rFonts w:asciiTheme="majorBidi" w:hAnsiTheme="majorBidi" w:cstheme="majorBidi"/>
        </w:rPr>
        <w:t>The author further authorises the University to create, store, and maintain a digital version of this work for academic use and for long-term digital preservation.</w:t>
      </w:r>
    </w:p>
    <w:p w14:paraId="4B13DAC5" w14:textId="77777777" w:rsidR="00F073C0" w:rsidRPr="008819FD" w:rsidRDefault="00F073C0" w:rsidP="00542767">
      <w:pPr>
        <w:spacing w:after="0" w:line="480" w:lineRule="auto"/>
        <w:ind w:firstLine="720"/>
        <w:rPr>
          <w:rFonts w:asciiTheme="majorBidi" w:hAnsiTheme="majorBidi" w:cstheme="majorBidi"/>
        </w:rPr>
      </w:pPr>
      <w:r>
        <w:rPr>
          <w:rFonts w:asciiTheme="majorBidi" w:hAnsiTheme="majorBidi" w:cstheme="majorBidi"/>
        </w:rPr>
        <w:t>Permission for the reproduction of multiple copies for academic or scholarly purposes may be granted only by the author or by an authorised University officer, including the Registrar or the Dean.</w:t>
      </w:r>
    </w:p>
    <w:p w14:paraId="53BC94DA" w14:textId="77777777" w:rsidR="00F073C0" w:rsidRPr="008819FD" w:rsidRDefault="00F073C0" w:rsidP="00542767">
      <w:pPr>
        <w:spacing w:after="0" w:line="480" w:lineRule="auto"/>
        <w:ind w:firstLine="720"/>
        <w:rPr>
          <w:rFonts w:asciiTheme="majorBidi" w:hAnsiTheme="majorBidi" w:cstheme="majorBidi"/>
        </w:rPr>
      </w:pPr>
      <w:r>
        <w:rPr>
          <w:rFonts w:asciiTheme="majorBidi" w:hAnsiTheme="majorBidi" w:cstheme="majorBidi"/>
        </w:rPr>
        <w:t>Any reproduction or use of this work for commercial or financial benefit is prohibited unless explicit written consent is obtained from the author.</w:t>
      </w:r>
    </w:p>
    <w:p w14:paraId="04A74E82" w14:textId="77777777" w:rsidR="00A94B2B" w:rsidRPr="008819FD" w:rsidRDefault="00F073C0" w:rsidP="00542767">
      <w:pPr>
        <w:spacing w:after="0" w:line="480" w:lineRule="auto"/>
        <w:ind w:firstLine="720"/>
        <w:rPr>
          <w:rFonts w:asciiTheme="majorBidi" w:hAnsiTheme="majorBidi" w:cstheme="majorBidi"/>
        </w:rPr>
      </w:pPr>
      <w:r>
        <w:rPr>
          <w:rFonts w:asciiTheme="majorBidi" w:hAnsiTheme="majorBidi" w:cstheme="majorBidi"/>
        </w:rPr>
        <w:t>All use of this work, whether in whole or in part, must respect the author’s moral rights, including the right to be properly acknowledged and the obligation to ensure that the work is represented accurately, in good faith, and without distortion of its original meaning or authorship.</w:t>
      </w:r>
    </w:p>
    <w:p w14:paraId="217B8681" w14:textId="77777777" w:rsidR="00F073C0" w:rsidRPr="008819FD" w:rsidRDefault="00F073C0" w:rsidP="00542767">
      <w:pPr>
        <w:spacing w:before="0" w:after="160" w:line="259" w:lineRule="auto"/>
        <w:ind w:firstLine="720"/>
        <w:rPr>
          <w:rFonts w:asciiTheme="majorBidi" w:hAnsiTheme="majorBidi" w:cstheme="majorBidi"/>
        </w:rPr>
      </w:pPr>
    </w:p>
    <w:p w14:paraId="1AE3BBF6" w14:textId="77777777" w:rsidR="00A94B2B" w:rsidRPr="008819FD" w:rsidRDefault="00A94B2B" w:rsidP="00F073C0">
      <w:pPr>
        <w:spacing w:before="0" w:after="160" w:line="259" w:lineRule="auto"/>
        <w:rPr>
          <w:rFonts w:asciiTheme="majorBidi" w:hAnsiTheme="majorBidi" w:cstheme="majorBidi"/>
        </w:rPr>
      </w:pPr>
    </w:p>
    <w:p w14:paraId="2DAE8F94" w14:textId="77777777" w:rsidR="00A94B2B" w:rsidRPr="008819FD" w:rsidRDefault="00A94B2B" w:rsidP="00F073C0">
      <w:pPr>
        <w:spacing w:before="0" w:after="160" w:line="259" w:lineRule="auto"/>
        <w:rPr>
          <w:rFonts w:asciiTheme="majorBidi" w:hAnsiTheme="majorBidi" w:cstheme="majorBidi"/>
        </w:rPr>
      </w:pPr>
    </w:p>
    <w:p w14:paraId="1CC6F7FC" w14:textId="77777777" w:rsidR="00A94B2B" w:rsidRPr="008819FD" w:rsidRDefault="00A94B2B" w:rsidP="00F073C0">
      <w:pPr>
        <w:spacing w:before="0" w:after="160" w:line="259" w:lineRule="auto"/>
        <w:rPr>
          <w:rFonts w:asciiTheme="majorBidi" w:hAnsiTheme="majorBidi" w:cstheme="majorBidi"/>
          <w:rtl/>
        </w:rPr>
      </w:pPr>
    </w:p>
    <w:p w14:paraId="18244282" w14:textId="77777777" w:rsidR="00D45225" w:rsidRPr="008819FD" w:rsidRDefault="00D45225" w:rsidP="00F073C0">
      <w:pPr>
        <w:spacing w:before="0" w:after="160" w:line="259" w:lineRule="auto"/>
        <w:rPr>
          <w:rFonts w:asciiTheme="majorBidi" w:hAnsiTheme="majorBidi" w:cstheme="majorBidi"/>
          <w:rtl/>
        </w:rPr>
      </w:pPr>
    </w:p>
    <w:p w14:paraId="42184566" w14:textId="77777777" w:rsidR="00D45225" w:rsidRPr="008819FD" w:rsidRDefault="00D45225" w:rsidP="00F073C0">
      <w:pPr>
        <w:spacing w:before="0" w:after="160" w:line="259" w:lineRule="auto"/>
        <w:rPr>
          <w:rFonts w:asciiTheme="majorBidi" w:hAnsiTheme="majorBidi" w:cstheme="majorBidi"/>
        </w:rPr>
      </w:pPr>
    </w:p>
    <w:p w14:paraId="382B4188" w14:textId="77777777" w:rsidR="00A94B2B" w:rsidRPr="008819FD" w:rsidRDefault="00A94B2B" w:rsidP="00F073C0">
      <w:pPr>
        <w:spacing w:before="0" w:after="160" w:line="259" w:lineRule="auto"/>
        <w:rPr>
          <w:rFonts w:asciiTheme="majorBidi" w:hAnsiTheme="majorBidi" w:cstheme="majorBidi"/>
        </w:rPr>
      </w:pPr>
    </w:p>
    <w:p w14:paraId="6E7DD253" w14:textId="77777777" w:rsidR="00F073C0" w:rsidRPr="008819FD" w:rsidRDefault="00F073C0" w:rsidP="00720DED">
      <w:pPr>
        <w:spacing w:before="100" w:beforeAutospacing="1" w:after="100" w:afterAutospacing="1"/>
        <w:jc w:val="center"/>
        <w:rPr>
          <w:rFonts w:asciiTheme="majorBidi" w:hAnsiTheme="majorBidi" w:cstheme="majorBidi"/>
          <w:b/>
          <w:color w:val="333333"/>
          <w:lang w:val="en-GB" w:eastAsia="en-GB"/>
        </w:rPr>
      </w:pPr>
      <w:r>
        <w:rPr>
          <w:rFonts w:asciiTheme="majorBidi" w:hAnsiTheme="majorBidi" w:cstheme="majorBidi"/>
          <w:b/>
          <w:color w:val="333333"/>
          <w:lang w:val="en-GB" w:eastAsia="en-GB"/>
        </w:rPr>
        <w:lastRenderedPageBreak/>
        <w:t>Abstract (in English)</w:t>
      </w:r>
    </w:p>
    <w:p w14:paraId="6BFAA4C6" w14:textId="77777777" w:rsidR="00F073C0" w:rsidRPr="008819FD" w:rsidRDefault="00F073C0" w:rsidP="0099552A">
      <w:pPr>
        <w:spacing w:line="240" w:lineRule="auto"/>
        <w:rPr>
          <w:rFonts w:asciiTheme="majorBidi" w:hAnsiTheme="majorBidi" w:cstheme="majorBidi"/>
        </w:rPr>
      </w:pPr>
      <w:bookmarkStart w:id="0" w:name="_Toc424048404"/>
    </w:p>
    <w:bookmarkEnd w:id="0"/>
    <w:p w14:paraId="09902C0E" w14:textId="069002DD" w:rsidR="00F073C0" w:rsidRPr="008819FD" w:rsidRDefault="00F073C0" w:rsidP="00CD0E06">
      <w:pPr>
        <w:spacing w:after="0" w:line="480" w:lineRule="auto"/>
        <w:rPr>
          <w:rFonts w:asciiTheme="majorBidi" w:hAnsiTheme="majorBidi" w:cstheme="majorBidi"/>
        </w:rPr>
      </w:pPr>
      <w:r>
        <w:rPr>
          <w:rFonts w:asciiTheme="majorBidi" w:hAnsiTheme="majorBidi" w:cstheme="majorBidi"/>
        </w:rPr>
        <w:t xml:space="preserve">The objective of this dissertation is to assess both the practical and legal challenges to protecting confidential and personal data in arbitration under the current legislation in the United Arab Emirates (UAE). Although confidentiality is generally regarded as an inherent characteristic of arbitration, growing reliance on electronic evidence, online case-management systems, and digital communication has increased concerns about data security. By employing a mixed- method research design, this study will investigate the following three primary issues: First, how privacy can be endangered during arbitral proceedings; second, whether the current regulatory framework adequately addresses contemporary cybersecurity threats; and third, to what extent quantitative evidence reflects the level of concern among parties and practitioners regarding the risk of confidentiality breaches in fact-based arbitrations. The methodology employed will include a combination of doctrinal legal analysis along with empirical data gathered from a structured quantitative survey, and through interviews of Arbitrator, experts, legal counsel, and institutional representatives. The results of the study reveal that although legislative and institutional progress, including recent developments of the Arbitration Law and the initiatives adopted by the Cybersecurity Council offer an encouraging base, there are significant discrepancies between their promise and the reality of their implementation, their technological preparedness and the clarity of the obligations they assign. </w:t>
      </w:r>
      <w:r w:rsidR="00B46E27">
        <w:rPr>
          <w:rFonts w:asciiTheme="majorBidi" w:hAnsiTheme="majorBidi" w:cstheme="majorBidi"/>
        </w:rPr>
        <w:t>Respondents to the survey also identified three principal concerns: deficiencies in the safeguards against unauthorized disclosure of information; the need for stronger digital security measures; and inconsistencies between institutional arbitration rules and statutory data protection requirements.</w:t>
      </w:r>
      <w:r>
        <w:rPr>
          <w:rFonts w:asciiTheme="majorBidi" w:hAnsiTheme="majorBidi" w:cstheme="majorBidi"/>
        </w:rPr>
        <w:t xml:space="preserve"> The study finds that maintaining confidentiality in arbitration requires a robust, technology-based framework that aligns legal obligations with contemporary </w:t>
      </w:r>
      <w:r>
        <w:rPr>
          <w:rFonts w:asciiTheme="majorBidi" w:hAnsiTheme="majorBidi" w:cstheme="majorBidi"/>
        </w:rPr>
        <w:lastRenderedPageBreak/>
        <w:t>standards of cybersecurity. Accordingly, reforms are recommended, including the development of secure communication protocols, strengthened digital evidence-handling procedures, and the harmonization of institutional rules, supported by practical recommendations responsive to contemporary risks and supporting the strategic vision of the UAE to develop advanced dispute resolution systems.</w:t>
      </w:r>
    </w:p>
    <w:p w14:paraId="7AF6CCC1" w14:textId="77777777" w:rsidR="004F67B5" w:rsidRPr="008819FD" w:rsidRDefault="00F3087D" w:rsidP="004F67B5">
      <w:pPr>
        <w:spacing w:before="0" w:after="160" w:line="259" w:lineRule="auto"/>
        <w:ind w:firstLine="720"/>
        <w:rPr>
          <w:rFonts w:asciiTheme="majorBidi" w:hAnsiTheme="majorBidi" w:cstheme="majorBidi"/>
        </w:rPr>
      </w:pPr>
      <w:r>
        <w:rPr>
          <w:rFonts w:asciiTheme="majorBidi" w:hAnsiTheme="majorBidi" w:cstheme="majorBidi"/>
          <w:b/>
          <w:bCs/>
          <w:lang w:val="en"/>
        </w:rPr>
        <w:t>Keywords</w:t>
      </w:r>
      <w:r>
        <w:rPr>
          <w:rFonts w:asciiTheme="majorBidi" w:hAnsiTheme="majorBidi" w:cstheme="majorBidi"/>
          <w:lang w:val="en"/>
        </w:rPr>
        <w:t xml:space="preserve">: </w:t>
      </w:r>
      <w:r>
        <w:rPr>
          <w:rFonts w:asciiTheme="majorBidi" w:hAnsiTheme="majorBidi" w:cstheme="majorBidi"/>
        </w:rPr>
        <w:t>Arbitration, Online Commercial Arbitration, UAE Arbitration Law, Arbitration Centres, Arbitral Procedures, Public Interest, Legal Regulation, Secure Communication Protocols, Confidentiality, Unauthorized Disclosure, Digital Evidence.</w:t>
      </w:r>
    </w:p>
    <w:p w14:paraId="691A06BD" w14:textId="77777777" w:rsidR="00A94B2B" w:rsidRPr="008819FD" w:rsidRDefault="00A94B2B" w:rsidP="004F67B5">
      <w:pPr>
        <w:spacing w:before="0" w:after="160" w:line="259" w:lineRule="auto"/>
        <w:ind w:firstLine="720"/>
        <w:rPr>
          <w:rFonts w:asciiTheme="majorBidi" w:hAnsiTheme="majorBidi" w:cstheme="majorBidi"/>
        </w:rPr>
      </w:pPr>
    </w:p>
    <w:p w14:paraId="26817FF7" w14:textId="77777777" w:rsidR="00A94B2B" w:rsidRPr="008819FD" w:rsidRDefault="00A94B2B" w:rsidP="00F073C0">
      <w:pPr>
        <w:spacing w:before="0" w:after="160" w:line="259" w:lineRule="auto"/>
        <w:rPr>
          <w:rFonts w:asciiTheme="majorBidi" w:hAnsiTheme="majorBidi" w:cstheme="majorBidi"/>
        </w:rPr>
      </w:pPr>
    </w:p>
    <w:p w14:paraId="5116F182" w14:textId="77777777" w:rsidR="00A94B2B" w:rsidRPr="008819FD" w:rsidRDefault="00A94B2B" w:rsidP="00F073C0">
      <w:pPr>
        <w:spacing w:before="0" w:after="160" w:line="259" w:lineRule="auto"/>
        <w:rPr>
          <w:rFonts w:asciiTheme="majorBidi" w:hAnsiTheme="majorBidi" w:cstheme="majorBidi"/>
        </w:rPr>
      </w:pPr>
    </w:p>
    <w:p w14:paraId="783BECB4" w14:textId="77777777" w:rsidR="00A94B2B" w:rsidRPr="008819FD" w:rsidRDefault="00A94B2B" w:rsidP="00F073C0">
      <w:pPr>
        <w:spacing w:before="0" w:after="160" w:line="259" w:lineRule="auto"/>
        <w:rPr>
          <w:rFonts w:asciiTheme="majorBidi" w:hAnsiTheme="majorBidi" w:cstheme="majorBidi"/>
        </w:rPr>
      </w:pPr>
    </w:p>
    <w:p w14:paraId="2DF4A57C" w14:textId="77777777" w:rsidR="00A94B2B" w:rsidRPr="008819FD" w:rsidRDefault="00A94B2B" w:rsidP="00F073C0">
      <w:pPr>
        <w:spacing w:before="0" w:after="160" w:line="259" w:lineRule="auto"/>
        <w:rPr>
          <w:rFonts w:asciiTheme="majorBidi" w:hAnsiTheme="majorBidi" w:cstheme="majorBidi"/>
        </w:rPr>
      </w:pPr>
    </w:p>
    <w:p w14:paraId="1D7D55B3" w14:textId="77777777" w:rsidR="00A94B2B" w:rsidRPr="008819FD" w:rsidRDefault="00A94B2B" w:rsidP="00F073C0">
      <w:pPr>
        <w:spacing w:before="0" w:after="160" w:line="259" w:lineRule="auto"/>
        <w:rPr>
          <w:rFonts w:asciiTheme="majorBidi" w:hAnsiTheme="majorBidi" w:cstheme="majorBidi"/>
        </w:rPr>
      </w:pPr>
    </w:p>
    <w:p w14:paraId="6C4D6AB9" w14:textId="77777777" w:rsidR="00A94B2B" w:rsidRPr="008819FD" w:rsidRDefault="00A94B2B" w:rsidP="00F073C0">
      <w:pPr>
        <w:spacing w:before="0" w:after="160" w:line="259" w:lineRule="auto"/>
        <w:rPr>
          <w:rFonts w:asciiTheme="majorBidi" w:hAnsiTheme="majorBidi" w:cstheme="majorBidi"/>
        </w:rPr>
      </w:pPr>
    </w:p>
    <w:p w14:paraId="71042BF9" w14:textId="77777777" w:rsidR="00A94B2B" w:rsidRPr="008819FD" w:rsidRDefault="00A94B2B" w:rsidP="00F073C0">
      <w:pPr>
        <w:spacing w:before="0" w:after="160" w:line="259" w:lineRule="auto"/>
        <w:rPr>
          <w:rFonts w:asciiTheme="majorBidi" w:hAnsiTheme="majorBidi" w:cstheme="majorBidi"/>
        </w:rPr>
      </w:pPr>
    </w:p>
    <w:p w14:paraId="4817D788" w14:textId="77777777" w:rsidR="00A94B2B" w:rsidRPr="008819FD" w:rsidRDefault="00A94B2B" w:rsidP="00F073C0">
      <w:pPr>
        <w:spacing w:before="0" w:after="160" w:line="259" w:lineRule="auto"/>
        <w:rPr>
          <w:rFonts w:asciiTheme="majorBidi" w:hAnsiTheme="majorBidi" w:cstheme="majorBidi"/>
        </w:rPr>
      </w:pPr>
    </w:p>
    <w:p w14:paraId="55B461C9" w14:textId="77777777" w:rsidR="00A94B2B" w:rsidRPr="008819FD" w:rsidRDefault="00A94B2B" w:rsidP="00F073C0">
      <w:pPr>
        <w:spacing w:before="0" w:after="160" w:line="259" w:lineRule="auto"/>
        <w:rPr>
          <w:rFonts w:asciiTheme="majorBidi" w:hAnsiTheme="majorBidi" w:cstheme="majorBidi"/>
        </w:rPr>
      </w:pPr>
    </w:p>
    <w:p w14:paraId="04182CA5" w14:textId="77777777" w:rsidR="00A94B2B" w:rsidRPr="008819FD" w:rsidRDefault="00A94B2B" w:rsidP="00F073C0">
      <w:pPr>
        <w:spacing w:before="0" w:after="160" w:line="259" w:lineRule="auto"/>
        <w:rPr>
          <w:rFonts w:asciiTheme="majorBidi" w:hAnsiTheme="majorBidi" w:cstheme="majorBidi"/>
        </w:rPr>
      </w:pPr>
    </w:p>
    <w:p w14:paraId="2E757A81" w14:textId="77777777" w:rsidR="00A94B2B" w:rsidRPr="008819FD" w:rsidRDefault="00A94B2B" w:rsidP="00F073C0">
      <w:pPr>
        <w:spacing w:before="0" w:after="160" w:line="259" w:lineRule="auto"/>
        <w:rPr>
          <w:rFonts w:asciiTheme="majorBidi" w:hAnsiTheme="majorBidi" w:cstheme="majorBidi"/>
        </w:rPr>
      </w:pPr>
    </w:p>
    <w:p w14:paraId="6BE9620E" w14:textId="77777777" w:rsidR="00A94B2B" w:rsidRPr="008819FD" w:rsidRDefault="00A94B2B" w:rsidP="00F073C0">
      <w:pPr>
        <w:spacing w:before="0" w:after="160" w:line="259" w:lineRule="auto"/>
        <w:rPr>
          <w:rFonts w:asciiTheme="majorBidi" w:hAnsiTheme="majorBidi" w:cstheme="majorBidi"/>
        </w:rPr>
      </w:pPr>
    </w:p>
    <w:p w14:paraId="73639FF4" w14:textId="77777777" w:rsidR="00A94B2B" w:rsidRPr="008819FD" w:rsidRDefault="00A94B2B" w:rsidP="00F073C0">
      <w:pPr>
        <w:spacing w:before="0" w:after="160" w:line="259" w:lineRule="auto"/>
        <w:rPr>
          <w:rFonts w:asciiTheme="majorBidi" w:hAnsiTheme="majorBidi" w:cstheme="majorBidi"/>
        </w:rPr>
      </w:pPr>
    </w:p>
    <w:p w14:paraId="4FFC50FF" w14:textId="77777777" w:rsidR="00A94B2B" w:rsidRPr="008819FD" w:rsidRDefault="00A94B2B" w:rsidP="00F073C0">
      <w:pPr>
        <w:spacing w:before="0" w:after="160" w:line="259" w:lineRule="auto"/>
        <w:rPr>
          <w:rFonts w:asciiTheme="majorBidi" w:hAnsiTheme="majorBidi" w:cstheme="majorBidi"/>
        </w:rPr>
      </w:pPr>
    </w:p>
    <w:p w14:paraId="1DBC1C22" w14:textId="77777777" w:rsidR="00A94B2B" w:rsidRPr="008819FD" w:rsidRDefault="00A94B2B" w:rsidP="00F073C0">
      <w:pPr>
        <w:spacing w:before="0" w:after="160" w:line="259" w:lineRule="auto"/>
        <w:rPr>
          <w:rFonts w:asciiTheme="majorBidi" w:hAnsiTheme="majorBidi" w:cstheme="majorBidi"/>
        </w:rPr>
      </w:pPr>
    </w:p>
    <w:p w14:paraId="5490017E" w14:textId="77777777" w:rsidR="00A94B2B" w:rsidRPr="008819FD" w:rsidRDefault="00A94B2B" w:rsidP="00F073C0">
      <w:pPr>
        <w:spacing w:before="0" w:after="160" w:line="259" w:lineRule="auto"/>
        <w:rPr>
          <w:rFonts w:asciiTheme="majorBidi" w:hAnsiTheme="majorBidi" w:cstheme="majorBidi"/>
        </w:rPr>
      </w:pPr>
    </w:p>
    <w:p w14:paraId="217D023A" w14:textId="77777777" w:rsidR="00A94B2B" w:rsidRPr="008819FD" w:rsidRDefault="00A94B2B" w:rsidP="00F073C0">
      <w:pPr>
        <w:spacing w:before="0" w:after="160" w:line="259" w:lineRule="auto"/>
        <w:rPr>
          <w:rFonts w:asciiTheme="majorBidi" w:hAnsiTheme="majorBidi" w:cstheme="majorBidi"/>
        </w:rPr>
      </w:pPr>
    </w:p>
    <w:p w14:paraId="53CB1CE6" w14:textId="77777777" w:rsidR="00F073C0" w:rsidRPr="008819FD" w:rsidRDefault="00F073C0" w:rsidP="00F073C0">
      <w:pPr>
        <w:spacing w:before="0" w:after="160" w:line="259" w:lineRule="auto"/>
        <w:rPr>
          <w:rFonts w:asciiTheme="majorBidi" w:hAnsiTheme="majorBidi" w:cstheme="majorBidi"/>
          <w:rtl/>
        </w:rPr>
      </w:pPr>
    </w:p>
    <w:p w14:paraId="32207561" w14:textId="77777777" w:rsidR="00757BED" w:rsidRPr="008819FD" w:rsidRDefault="00757BED" w:rsidP="00F073C0">
      <w:pPr>
        <w:spacing w:before="0" w:after="160" w:line="259" w:lineRule="auto"/>
        <w:rPr>
          <w:rFonts w:asciiTheme="majorBidi" w:hAnsiTheme="majorBidi" w:cstheme="majorBidi"/>
        </w:rPr>
      </w:pPr>
    </w:p>
    <w:p w14:paraId="2243CB34" w14:textId="77777777" w:rsidR="00F073C0" w:rsidRPr="008819FD" w:rsidRDefault="00F073C0" w:rsidP="00F073C0">
      <w:pPr>
        <w:spacing w:before="100" w:beforeAutospacing="1" w:after="100" w:afterAutospacing="1"/>
        <w:jc w:val="center"/>
        <w:rPr>
          <w:rFonts w:asciiTheme="majorBidi" w:hAnsiTheme="majorBidi" w:cstheme="majorBidi"/>
          <w:b/>
          <w:color w:val="333333"/>
          <w:lang w:val="en-GB" w:eastAsia="en-GB"/>
        </w:rPr>
      </w:pPr>
      <w:r>
        <w:rPr>
          <w:rFonts w:asciiTheme="majorBidi" w:hAnsiTheme="majorBidi" w:cstheme="majorBidi"/>
          <w:b/>
          <w:color w:val="333333"/>
          <w:rtl/>
          <w:lang w:val="en-GB" w:eastAsia="en-GB"/>
        </w:rPr>
        <w:lastRenderedPageBreak/>
        <w:t>ملخص</w:t>
      </w:r>
      <w:r>
        <w:rPr>
          <w:rFonts w:asciiTheme="majorBidi" w:hAnsiTheme="majorBidi" w:cstheme="majorBidi"/>
          <w:b/>
          <w:color w:val="333333"/>
          <w:lang w:val="en-GB" w:eastAsia="en-GB"/>
        </w:rPr>
        <w:t xml:space="preserve"> (in Arabic)</w:t>
      </w:r>
    </w:p>
    <w:p w14:paraId="1DD74FE0" w14:textId="77777777" w:rsidR="00F073C0" w:rsidRPr="008819FD" w:rsidRDefault="00F073C0" w:rsidP="0099552A">
      <w:pPr>
        <w:bidi/>
        <w:rPr>
          <w:rFonts w:asciiTheme="majorBidi" w:hAnsiTheme="majorBidi" w:cstheme="majorBidi"/>
        </w:rPr>
      </w:pPr>
      <w:r>
        <w:rPr>
          <w:rFonts w:asciiTheme="majorBidi" w:hAnsiTheme="majorBidi" w:cstheme="majorBidi"/>
          <w:rtl/>
        </w:rPr>
        <w:t>تهدف هذه الرسالة إلى دراسة وتحليل التحديات المتداخلة ذات البعدين القانوني والعملي المرتبطة بحماية المعلومات السرية والبيانات الشخصية في إجراءات التحكيم، وذلك في إطار التشريعات النافذة في دولة الإمارات العربية المتحدة. وعلى الرغم من أن السرية تُعد من الخصائص الأساسية التي تميّز التحكيم، لما يتمتع به من مرونة واستقلال إجرائي، فإن التطور المتسارع في استخدام وسائل الاتصال الرقمية، والأدلة الإلكترونية، ومنصات إدارة القضايا عبر الإنترنت، أ</w:t>
      </w:r>
      <w:r>
        <w:rPr>
          <w:rFonts w:asciiTheme="majorBidi" w:hAnsiTheme="majorBidi" w:cstheme="majorBidi"/>
          <w:rtl/>
          <w:lang w:bidi="ar-AE"/>
        </w:rPr>
        <w:t>ب</w:t>
      </w:r>
      <w:r>
        <w:rPr>
          <w:rFonts w:asciiTheme="majorBidi" w:hAnsiTheme="majorBidi" w:cstheme="majorBidi"/>
          <w:rtl/>
        </w:rPr>
        <w:t>رز تحديات متزايدة تتعلق بأمن المعلومات وحمايتها من المخاطر السيبرانية</w:t>
      </w:r>
      <w:r>
        <w:rPr>
          <w:rFonts w:asciiTheme="majorBidi" w:hAnsiTheme="majorBidi" w:cstheme="majorBidi"/>
        </w:rPr>
        <w:t>.</w:t>
      </w:r>
    </w:p>
    <w:p w14:paraId="682010E0" w14:textId="77777777" w:rsidR="00F073C0" w:rsidRPr="008819FD" w:rsidRDefault="00F073C0" w:rsidP="0099552A">
      <w:pPr>
        <w:bidi/>
        <w:rPr>
          <w:rFonts w:asciiTheme="majorBidi" w:hAnsiTheme="majorBidi" w:cstheme="majorBidi"/>
        </w:rPr>
      </w:pPr>
      <w:r>
        <w:rPr>
          <w:rFonts w:asciiTheme="majorBidi" w:hAnsiTheme="majorBidi" w:cstheme="majorBidi"/>
          <w:rtl/>
        </w:rPr>
        <w:t>بالاعتماد على منهج بحثي مختلط يجمع بين الأسلوبين الكمي والنوعي، تتناول هذه الدراسة ثلاثة محاور رئيسية؛ يتمثل الأول في تقييم مدى فاعلية حماية السرية في الممارسة العملية للتحكيم، بينما يركز الثاني على تحليل قدرة الإطار التنظيمي القائم على الاستجابة لمخاطر الأمن السيبراني المعاصرة، في حين يسعى المحور الثالث إلى قياس مدى انعكاس هذه المخاطر على تصورات الأطراف والممارسين، وذلك استنادًا إلى الأدلة الكمية المستخلصة من الواقع العملي</w:t>
      </w:r>
      <w:r>
        <w:rPr>
          <w:rFonts w:asciiTheme="majorBidi" w:hAnsiTheme="majorBidi" w:cstheme="majorBidi"/>
        </w:rPr>
        <w:t>.</w:t>
      </w:r>
    </w:p>
    <w:p w14:paraId="31344CAC" w14:textId="77777777" w:rsidR="00F073C0" w:rsidRPr="008819FD" w:rsidRDefault="00F073C0" w:rsidP="0099552A">
      <w:pPr>
        <w:bidi/>
        <w:rPr>
          <w:rFonts w:asciiTheme="majorBidi" w:hAnsiTheme="majorBidi" w:cstheme="majorBidi"/>
        </w:rPr>
      </w:pPr>
      <w:r>
        <w:rPr>
          <w:rFonts w:asciiTheme="majorBidi" w:hAnsiTheme="majorBidi" w:cstheme="majorBidi"/>
          <w:rtl/>
        </w:rPr>
        <w:t>وتستند الدراسة منهجيًا إلى التحليل القانوني الفقهي للتشريعات ذات الصلة، مدعومًا ببيانات تجريبية جُمعت من خلال استبيان كمي ومقابلات منظمة شملت ممارسي التحكيم، والمستشارين القانونيين، وممثلي المؤسسات التحكيمية. وتُظهر نتائج الدراسة أنه، بالرغم من التطورات التشريعية والمؤسسية التي شهدها نظام التحكيم في دولة الإمارات، ولا سيما صدور قانون التحكيم والمبادرات التي أطلقها مجلس الأمن السيبراني، فإن هذه الجهود، على أهميتها، لا تزال تعاني من أوجه قصور تتعلق بفعالية التنفيذ، ومستوى الجاهزية التكنولوجية، ووضوح نطاق الالتزامات القانونية المفروضة على أطراف العملية التحكيمية</w:t>
      </w:r>
      <w:r>
        <w:rPr>
          <w:rFonts w:asciiTheme="majorBidi" w:hAnsiTheme="majorBidi" w:cstheme="majorBidi"/>
        </w:rPr>
        <w:t>.</w:t>
      </w:r>
    </w:p>
    <w:p w14:paraId="3E6E4085" w14:textId="0DEB0681" w:rsidR="006E182D" w:rsidRPr="008819FD" w:rsidRDefault="00F073C0" w:rsidP="00BA0FBD">
      <w:pPr>
        <w:bidi/>
        <w:rPr>
          <w:rFonts w:asciiTheme="majorBidi" w:hAnsiTheme="majorBidi" w:cstheme="majorBidi"/>
          <w:rtl/>
        </w:rPr>
      </w:pPr>
      <w:r>
        <w:rPr>
          <w:rFonts w:asciiTheme="majorBidi" w:hAnsiTheme="majorBidi" w:cstheme="majorBidi"/>
          <w:rtl/>
        </w:rPr>
        <w:t xml:space="preserve">كما أشار المشاركون في الدراسة إلى وجود </w:t>
      </w:r>
      <w:r w:rsidR="00BA0FBD">
        <w:rPr>
          <w:rFonts w:asciiTheme="majorBidi" w:hAnsiTheme="majorBidi" w:cstheme="majorBidi" w:hint="cs"/>
          <w:rtl/>
        </w:rPr>
        <w:t xml:space="preserve">ثلاث مخاوف رئيسية:  أوجه القصور في الضمانات ضد الكشف الغير مصرح به عن المعلومات </w:t>
      </w:r>
      <w:r>
        <w:rPr>
          <w:rFonts w:asciiTheme="majorBidi" w:hAnsiTheme="majorBidi" w:cstheme="majorBidi"/>
          <w:rtl/>
        </w:rPr>
        <w:t xml:space="preserve">، </w:t>
      </w:r>
      <w:r w:rsidR="00BA0FBD">
        <w:rPr>
          <w:rFonts w:asciiTheme="majorBidi" w:hAnsiTheme="majorBidi" w:cstheme="majorBidi" w:hint="cs"/>
          <w:rtl/>
        </w:rPr>
        <w:t>والحاجه الى</w:t>
      </w:r>
      <w:r w:rsidR="00BA0FBD">
        <w:rPr>
          <w:rFonts w:asciiTheme="majorBidi" w:hAnsiTheme="majorBidi" w:cstheme="majorBidi"/>
          <w:rtl/>
        </w:rPr>
        <w:t xml:space="preserve"> </w:t>
      </w:r>
      <w:r>
        <w:rPr>
          <w:rFonts w:asciiTheme="majorBidi" w:hAnsiTheme="majorBidi" w:cstheme="majorBidi"/>
          <w:rtl/>
        </w:rPr>
        <w:t xml:space="preserve">الدعم الفني للضمانات الرقمية، إضافة إلى </w:t>
      </w:r>
      <w:r w:rsidR="00BA0FBD">
        <w:rPr>
          <w:rFonts w:asciiTheme="majorBidi" w:hAnsiTheme="majorBidi" w:cstheme="majorBidi" w:hint="cs"/>
          <w:rtl/>
        </w:rPr>
        <w:t>التفاوت</w:t>
      </w:r>
      <w:r>
        <w:rPr>
          <w:rFonts w:asciiTheme="majorBidi" w:hAnsiTheme="majorBidi" w:cstheme="majorBidi"/>
          <w:rtl/>
        </w:rPr>
        <w:t xml:space="preserve"> بين القواعد المؤسسية المعتمدة في مراكز التحكيم والأحكام القانونية المقررة في التشريعات الوطنية. وتخلص الرسالة إلى أن تحقيق السرية الفعالة في التحكيم يتطلب تبني إطار قانوني وتنظيمي أكثر تكاملًا ووعيًا بالتكنولوجيا، يقوم على مواءمة الالتزامات القانونية مع المعايير الحديثة للأمن السيبراني. وفي هذا السياق، تقترح الدراسة جملة من الإصلاحات العملية تشمل تطوير آليات التعامل مع الأدلة الرقمية، وتعزيز بروتوكولات الاتصال الآمن، وتوحيد القواعد المؤسسية، بما يسهم في مواجهة المخاطر المستجدة وتعزيز المكانة الاستراتيجية لدولة الإمارات العربية المتحدة في مجال أنظمة تسوية المنازعات الحديثة والمتقدمة</w:t>
      </w:r>
      <w:r>
        <w:rPr>
          <w:rFonts w:asciiTheme="majorBidi" w:hAnsiTheme="majorBidi" w:cstheme="majorBidi"/>
        </w:rPr>
        <w:t>.</w:t>
      </w:r>
    </w:p>
    <w:p w14:paraId="26AE0695" w14:textId="77777777" w:rsidR="006E182D" w:rsidRPr="008819FD" w:rsidRDefault="006E182D" w:rsidP="0099552A">
      <w:pPr>
        <w:bidi/>
        <w:rPr>
          <w:rFonts w:asciiTheme="majorBidi" w:hAnsiTheme="majorBidi" w:cstheme="majorBidi"/>
        </w:rPr>
      </w:pPr>
    </w:p>
    <w:p w14:paraId="7D3F5AEA" w14:textId="77777777" w:rsidR="006E182D" w:rsidRPr="008819FD" w:rsidRDefault="006E182D" w:rsidP="0099552A">
      <w:pPr>
        <w:bidi/>
        <w:rPr>
          <w:rFonts w:asciiTheme="majorBidi" w:hAnsiTheme="majorBidi" w:cstheme="majorBidi"/>
          <w:rtl/>
        </w:rPr>
      </w:pPr>
      <w:r>
        <w:rPr>
          <w:rFonts w:asciiTheme="majorBidi" w:hAnsiTheme="majorBidi" w:cstheme="majorBidi"/>
          <w:b/>
          <w:bCs/>
          <w:rtl/>
        </w:rPr>
        <w:t>الكلمات المفتاحية:</w:t>
      </w:r>
      <w:r>
        <w:rPr>
          <w:rFonts w:asciiTheme="majorBidi" w:hAnsiTheme="majorBidi" w:cstheme="majorBidi"/>
          <w:rtl/>
        </w:rPr>
        <w:t xml:space="preserve"> التحكيم، التحكيم التجاري الإلكتروني، قانون التحكيم لدولة الامارات العربية المتحدة، مراكز التحكيم، الإجراءات التحكيمية، المصلحة العامة، التنظيم القانوني، بروتوكولات الاتصال الآمن، السريه، الإفصاح الغير مصرح به، الأدلة الرقمية.</w:t>
      </w:r>
    </w:p>
    <w:p w14:paraId="028FCC95" w14:textId="77777777" w:rsidR="00F073C0" w:rsidRPr="008819FD" w:rsidRDefault="00F073C0" w:rsidP="00F073C0">
      <w:pPr>
        <w:spacing w:before="0" w:after="160" w:line="259" w:lineRule="auto"/>
        <w:jc w:val="center"/>
        <w:rPr>
          <w:rFonts w:asciiTheme="majorBidi" w:hAnsiTheme="majorBidi" w:cstheme="majorBidi"/>
          <w:b/>
          <w:color w:val="333333"/>
          <w:lang w:val="en-GB" w:eastAsia="en-GB"/>
        </w:rPr>
      </w:pPr>
      <w:r>
        <w:rPr>
          <w:rFonts w:asciiTheme="majorBidi" w:hAnsiTheme="majorBidi" w:cstheme="majorBidi"/>
        </w:rPr>
        <w:br w:type="page"/>
      </w:r>
      <w:r>
        <w:rPr>
          <w:rFonts w:asciiTheme="majorBidi" w:hAnsiTheme="majorBidi" w:cstheme="majorBidi"/>
          <w:b/>
          <w:color w:val="333333"/>
          <w:lang w:val="en-GB" w:eastAsia="en-GB"/>
        </w:rPr>
        <w:lastRenderedPageBreak/>
        <w:t xml:space="preserve">Dedication </w:t>
      </w:r>
    </w:p>
    <w:p w14:paraId="61A8101F" w14:textId="77777777" w:rsidR="00F073C0" w:rsidRPr="008819FD" w:rsidRDefault="00F073C0" w:rsidP="006806B6">
      <w:pPr>
        <w:spacing w:before="0" w:after="160" w:line="259" w:lineRule="auto"/>
        <w:ind w:firstLine="720"/>
        <w:rPr>
          <w:rFonts w:asciiTheme="majorBidi" w:hAnsiTheme="majorBidi" w:cstheme="majorBidi"/>
        </w:rPr>
      </w:pPr>
    </w:p>
    <w:p w14:paraId="077F649C" w14:textId="77777777" w:rsidR="00F073C0" w:rsidRPr="008819FD" w:rsidRDefault="00F073C0" w:rsidP="00542767">
      <w:pPr>
        <w:spacing w:after="0" w:line="480" w:lineRule="auto"/>
        <w:ind w:firstLine="720"/>
        <w:rPr>
          <w:rFonts w:asciiTheme="majorBidi" w:hAnsiTheme="majorBidi" w:cstheme="majorBidi"/>
        </w:rPr>
      </w:pPr>
      <w:r>
        <w:rPr>
          <w:rFonts w:asciiTheme="majorBidi" w:hAnsiTheme="majorBidi" w:cstheme="majorBidi"/>
        </w:rPr>
        <w:t>I dedicate this achievement to my family, whose constant love, patience, and encouragement have been the foundation of my academic journey. I extend my deepest gratitude to my mother and father for their unwavering belief in me, their sacrifices, and their endless support throughout every stage of my life. Their guidance and prayers have been a source of strength and motivation during the most challenging moments of this journey.</w:t>
      </w:r>
    </w:p>
    <w:p w14:paraId="3D437C01" w14:textId="77777777" w:rsidR="00F073C0" w:rsidRPr="008819FD" w:rsidRDefault="00F073C0" w:rsidP="00542767">
      <w:pPr>
        <w:spacing w:after="0" w:line="480" w:lineRule="auto"/>
        <w:ind w:firstLine="720"/>
        <w:rPr>
          <w:rFonts w:asciiTheme="majorBidi" w:hAnsiTheme="majorBidi" w:cstheme="majorBidi"/>
        </w:rPr>
      </w:pPr>
      <w:r>
        <w:rPr>
          <w:rFonts w:asciiTheme="majorBidi" w:hAnsiTheme="majorBidi" w:cstheme="majorBidi"/>
        </w:rPr>
        <w:t>I am especially grateful to my wife for her understanding, encouragement, and steadfast support throughout my PhD studies. Her patience, confidence in my abilities, and continuous encouragement have been invaluable and have greatly contributed to my perseverance and success.</w:t>
      </w:r>
    </w:p>
    <w:p w14:paraId="60F90934" w14:textId="77777777" w:rsidR="00F073C0" w:rsidRPr="008819FD" w:rsidRDefault="00F073C0" w:rsidP="00542767">
      <w:pPr>
        <w:spacing w:after="0" w:line="480" w:lineRule="auto"/>
        <w:ind w:firstLine="720"/>
        <w:rPr>
          <w:rFonts w:asciiTheme="majorBidi" w:hAnsiTheme="majorBidi" w:cstheme="majorBidi"/>
        </w:rPr>
      </w:pPr>
      <w:r>
        <w:rPr>
          <w:rFonts w:asciiTheme="majorBidi" w:hAnsiTheme="majorBidi" w:cstheme="majorBidi"/>
        </w:rPr>
        <w:t>This accomplishment would not have been possible without the support of my family, and I dedicate this work to them with sincere appreciation and respect.</w:t>
      </w:r>
    </w:p>
    <w:p w14:paraId="4CE2FDBC" w14:textId="77777777" w:rsidR="00F073C0" w:rsidRPr="008819FD" w:rsidRDefault="00F073C0" w:rsidP="00542767">
      <w:pPr>
        <w:ind w:firstLine="720"/>
        <w:rPr>
          <w:rFonts w:asciiTheme="majorBidi" w:hAnsiTheme="majorBidi" w:cstheme="majorBidi"/>
        </w:rPr>
      </w:pPr>
    </w:p>
    <w:p w14:paraId="3B2CFA13" w14:textId="77777777" w:rsidR="00F073C0" w:rsidRPr="008819FD" w:rsidRDefault="00F073C0" w:rsidP="00542767">
      <w:pPr>
        <w:ind w:firstLine="720"/>
        <w:rPr>
          <w:rFonts w:asciiTheme="majorBidi" w:hAnsiTheme="majorBidi" w:cstheme="majorBidi"/>
        </w:rPr>
      </w:pPr>
      <w:r>
        <w:rPr>
          <w:rFonts w:asciiTheme="majorBidi" w:hAnsiTheme="majorBidi" w:cstheme="majorBidi"/>
          <w:b/>
          <w:bCs/>
        </w:rPr>
        <w:t>Ali Ahmed Ali Binsayyar</w:t>
      </w:r>
    </w:p>
    <w:p w14:paraId="47829081" w14:textId="77777777" w:rsidR="00F073C0" w:rsidRPr="008819FD" w:rsidRDefault="00F073C0" w:rsidP="00F073C0">
      <w:pPr>
        <w:rPr>
          <w:rFonts w:asciiTheme="majorBidi" w:hAnsiTheme="majorBidi" w:cstheme="majorBidi"/>
        </w:rPr>
      </w:pPr>
    </w:p>
    <w:p w14:paraId="76EE8A63" w14:textId="77777777" w:rsidR="00F073C0" w:rsidRPr="008819FD" w:rsidRDefault="00F073C0" w:rsidP="00F073C0">
      <w:pPr>
        <w:rPr>
          <w:rFonts w:asciiTheme="majorBidi" w:hAnsiTheme="majorBidi" w:cstheme="majorBidi"/>
        </w:rPr>
      </w:pPr>
    </w:p>
    <w:p w14:paraId="383FFCE3" w14:textId="77777777" w:rsidR="00F073C0" w:rsidRPr="008819FD" w:rsidRDefault="00F073C0" w:rsidP="00F073C0">
      <w:pPr>
        <w:spacing w:before="0" w:after="160" w:line="259" w:lineRule="auto"/>
        <w:rPr>
          <w:rFonts w:asciiTheme="majorBidi" w:hAnsiTheme="majorBidi" w:cstheme="majorBidi"/>
        </w:rPr>
      </w:pPr>
    </w:p>
    <w:p w14:paraId="09D5734D" w14:textId="77777777" w:rsidR="00F073C0" w:rsidRPr="008819FD" w:rsidRDefault="00F073C0" w:rsidP="00F073C0">
      <w:pPr>
        <w:spacing w:before="0" w:after="160" w:line="259" w:lineRule="auto"/>
        <w:rPr>
          <w:rFonts w:asciiTheme="majorBidi" w:hAnsiTheme="majorBidi" w:cstheme="majorBidi"/>
        </w:rPr>
      </w:pPr>
    </w:p>
    <w:p w14:paraId="5CB4F47D" w14:textId="77777777" w:rsidR="00F073C0" w:rsidRPr="008819FD" w:rsidRDefault="00F073C0" w:rsidP="00F073C0">
      <w:pPr>
        <w:spacing w:before="0" w:after="160" w:line="259" w:lineRule="auto"/>
        <w:rPr>
          <w:rFonts w:asciiTheme="majorBidi" w:hAnsiTheme="majorBidi" w:cstheme="majorBidi"/>
        </w:rPr>
      </w:pPr>
      <w:r>
        <w:rPr>
          <w:rFonts w:asciiTheme="majorBidi" w:hAnsiTheme="majorBidi" w:cstheme="majorBidi"/>
        </w:rPr>
        <w:br w:type="page"/>
      </w:r>
    </w:p>
    <w:p w14:paraId="25143CFF" w14:textId="77777777" w:rsidR="00F073C0" w:rsidRPr="008819FD" w:rsidRDefault="00F073C0" w:rsidP="00404BF0">
      <w:pPr>
        <w:spacing w:before="100" w:beforeAutospacing="1" w:after="100" w:afterAutospacing="1"/>
        <w:jc w:val="center"/>
        <w:rPr>
          <w:rFonts w:asciiTheme="majorBidi" w:hAnsiTheme="majorBidi" w:cstheme="majorBidi"/>
          <w:b/>
          <w:color w:val="333333"/>
          <w:lang w:val="en-GB" w:eastAsia="en-GB"/>
        </w:rPr>
      </w:pPr>
      <w:r>
        <w:rPr>
          <w:rFonts w:asciiTheme="majorBidi" w:hAnsiTheme="majorBidi" w:cstheme="majorBidi"/>
          <w:b/>
          <w:color w:val="333333"/>
          <w:lang w:val="en-GB" w:eastAsia="en-GB"/>
        </w:rPr>
        <w:lastRenderedPageBreak/>
        <w:t xml:space="preserve">Acknowledgements </w:t>
      </w:r>
    </w:p>
    <w:p w14:paraId="1474D775" w14:textId="77777777" w:rsidR="00F073C0" w:rsidRPr="008819FD" w:rsidRDefault="00F073C0" w:rsidP="00542767">
      <w:pPr>
        <w:spacing w:after="0" w:line="480" w:lineRule="auto"/>
        <w:ind w:firstLine="720"/>
        <w:rPr>
          <w:rFonts w:asciiTheme="majorBidi" w:hAnsiTheme="majorBidi" w:cstheme="majorBidi"/>
          <w:rtl/>
          <w:lang w:bidi="ar-JO"/>
        </w:rPr>
      </w:pPr>
      <w:r>
        <w:rPr>
          <w:rFonts w:asciiTheme="majorBidi" w:hAnsiTheme="majorBidi" w:cstheme="majorBidi"/>
        </w:rPr>
        <w:t>First and foremost, I thank Almighty God for granting me the strength, patience, wisdom, and perseverance to successfully complete this doctoral journey. His guidance and blessings have sustained me through every challenge and milestone, and without His grace, this achievement would not have been possible.</w:t>
      </w:r>
    </w:p>
    <w:p w14:paraId="617A6EA8" w14:textId="77777777" w:rsidR="00F073C0" w:rsidRPr="008819FD" w:rsidRDefault="00F073C0" w:rsidP="00542767">
      <w:pPr>
        <w:spacing w:after="0" w:line="480" w:lineRule="auto"/>
        <w:ind w:firstLine="720"/>
        <w:rPr>
          <w:rFonts w:asciiTheme="majorBidi" w:hAnsiTheme="majorBidi" w:cstheme="majorBidi"/>
        </w:rPr>
      </w:pPr>
      <w:r>
        <w:rPr>
          <w:rFonts w:asciiTheme="majorBidi" w:hAnsiTheme="majorBidi" w:cstheme="majorBidi"/>
        </w:rPr>
        <w:t>I extend my sincere gratitude to all those who supported, encouraged, and stood by me throughout the completion of this dissertation. Their moral support, guidance, and belief in my abilities played a significant role in helping me overcome challenges and remain committed to achieving this goal.</w:t>
      </w:r>
    </w:p>
    <w:p w14:paraId="30F403FD" w14:textId="77777777" w:rsidR="00F073C0" w:rsidRPr="008819FD" w:rsidRDefault="00F073C0" w:rsidP="00542767">
      <w:pPr>
        <w:spacing w:after="0" w:line="480" w:lineRule="auto"/>
        <w:ind w:firstLine="720"/>
        <w:rPr>
          <w:rFonts w:asciiTheme="majorBidi" w:hAnsiTheme="majorBidi" w:cstheme="majorBidi"/>
        </w:rPr>
      </w:pPr>
      <w:r>
        <w:rPr>
          <w:rFonts w:asciiTheme="majorBidi" w:hAnsiTheme="majorBidi" w:cstheme="majorBidi"/>
        </w:rPr>
        <w:t>I would like to express my deepest appreciation and heartfelt thanks to my supervisor, Dr. Abba Kolo, for his unwavering guidance, continuous support, and constructive feedback from the very beginning of this research until its successful completion. His academic insight, encouragement, and dedication were instrumental in shaping this work and in guiding me through every stage of the research process.</w:t>
      </w:r>
    </w:p>
    <w:p w14:paraId="1C49DC66" w14:textId="77777777" w:rsidR="00F073C0" w:rsidRPr="008819FD" w:rsidRDefault="00F073C0" w:rsidP="00542767">
      <w:pPr>
        <w:spacing w:after="0" w:line="480" w:lineRule="auto"/>
        <w:ind w:firstLine="720"/>
        <w:rPr>
          <w:rFonts w:asciiTheme="majorBidi" w:hAnsiTheme="majorBidi" w:cstheme="majorBidi"/>
        </w:rPr>
        <w:sectPr w:rsidR="00F073C0" w:rsidRPr="008819FD" w:rsidSect="00336BD2">
          <w:pgSz w:w="12240" w:h="15840"/>
          <w:pgMar w:top="1701" w:right="1701" w:bottom="1134" w:left="1418" w:header="709" w:footer="709" w:gutter="0"/>
          <w:cols w:space="708"/>
          <w:docGrid w:linePitch="360"/>
        </w:sectPr>
      </w:pPr>
      <w:r>
        <w:rPr>
          <w:rFonts w:asciiTheme="majorBidi" w:hAnsiTheme="majorBidi" w:cstheme="majorBidi"/>
        </w:rPr>
        <w:t>I am also sincerely thankful to my respected professors and academic colleagues for their valuable advice, intellectual contributions, and professional support throughout my doctoral studies. Their knowledge, encouragement, and collaboration enriched my academic experience and contributed meaningfully to the completion of this dissertation</w:t>
      </w:r>
    </w:p>
    <w:p w14:paraId="58990693" w14:textId="77777777" w:rsidR="00F073C0" w:rsidRPr="008819FD" w:rsidRDefault="00F073C0" w:rsidP="001108F2">
      <w:pPr>
        <w:tabs>
          <w:tab w:val="left" w:pos="1540"/>
        </w:tabs>
        <w:spacing w:before="0" w:after="160" w:line="259" w:lineRule="auto"/>
        <w:rPr>
          <w:rFonts w:asciiTheme="majorBidi" w:hAnsiTheme="majorBidi" w:cstheme="majorBidi"/>
        </w:rPr>
      </w:pPr>
    </w:p>
    <w:sdt>
      <w:sdtPr>
        <w:rPr>
          <w:rFonts w:asciiTheme="majorBidi" w:eastAsiaTheme="minorHAnsi" w:hAnsiTheme="majorBidi" w:cs="Times New Roman"/>
          <w:color w:val="auto"/>
        </w:rPr>
        <w:id w:val="1451588326"/>
        <w:docPartObj>
          <w:docPartGallery w:val="Table of Contents"/>
          <w:docPartUnique/>
        </w:docPartObj>
      </w:sdtPr>
      <w:sdtEndPr>
        <w:rPr>
          <w:b/>
          <w:bCs/>
          <w:noProof/>
        </w:rPr>
      </w:sdtEndPr>
      <w:sdtContent>
        <w:p w14:paraId="019E2739" w14:textId="746CB393" w:rsidR="00F073C0" w:rsidRPr="008819FD" w:rsidRDefault="00F073C0" w:rsidP="005A4670">
          <w:pPr>
            <w:pStyle w:val="TOCHeading"/>
            <w:rPr>
              <w:rFonts w:asciiTheme="majorBidi" w:hAnsiTheme="majorBidi"/>
            </w:rPr>
          </w:pPr>
          <w:r>
            <w:rPr>
              <w:rFonts w:asciiTheme="majorBidi" w:hAnsiTheme="majorBidi"/>
            </w:rPr>
            <w:t>Table of Contents</w:t>
          </w:r>
        </w:p>
        <w:p w14:paraId="2B5365D0" w14:textId="00122E29" w:rsidR="008819FD" w:rsidRPr="008819FD" w:rsidRDefault="00F073C0">
          <w:pPr>
            <w:pStyle w:val="TOC1"/>
            <w:rPr>
              <w:rFonts w:asciiTheme="majorBidi" w:eastAsiaTheme="minorEastAsia" w:hAnsiTheme="majorBidi" w:cstheme="majorBidi"/>
              <w:b w:val="0"/>
              <w:noProof/>
              <w:kern w:val="2"/>
              <w:sz w:val="24"/>
              <w14:ligatures w14:val="standardContextual"/>
            </w:rPr>
          </w:pPr>
          <w:r>
            <w:rPr>
              <w:rFonts w:asciiTheme="majorBidi" w:hAnsiTheme="majorBidi" w:cstheme="majorBidi"/>
              <w:sz w:val="24"/>
            </w:rPr>
            <w:fldChar w:fldCharType="begin"/>
          </w:r>
          <w:r>
            <w:rPr>
              <w:rFonts w:asciiTheme="majorBidi" w:hAnsiTheme="majorBidi" w:cstheme="majorBidi"/>
              <w:sz w:val="24"/>
            </w:rPr>
            <w:instrText xml:space="preserve"> TOC \o "1-3" \h \z \t "References,1,Appendices,1,Appendix,2" </w:instrText>
          </w:r>
          <w:r>
            <w:rPr>
              <w:rFonts w:asciiTheme="majorBidi" w:hAnsiTheme="majorBidi" w:cstheme="majorBidi"/>
              <w:sz w:val="24"/>
            </w:rPr>
            <w:fldChar w:fldCharType="separate"/>
          </w:r>
          <w:hyperlink w:anchor="_Toc221804488" w:history="1">
            <w:r>
              <w:rPr>
                <w:rStyle w:val="Hyperlink"/>
                <w:rFonts w:asciiTheme="majorBidi" w:hAnsiTheme="majorBidi" w:cstheme="majorBidi"/>
                <w:noProof/>
                <w:sz w:val="24"/>
              </w:rPr>
              <w:t>Chapter 1 : Introduction</w:t>
            </w:r>
            <w:r>
              <w:rPr>
                <w:rFonts w:asciiTheme="majorBidi" w:hAnsiTheme="majorBidi" w:cstheme="majorBidi"/>
                <w:noProof/>
                <w:webHidden/>
                <w:sz w:val="24"/>
              </w:rPr>
              <w:tab/>
            </w:r>
            <w:r>
              <w:rPr>
                <w:rFonts w:asciiTheme="majorBidi" w:hAnsiTheme="majorBidi" w:cstheme="majorBidi"/>
                <w:noProof/>
                <w:webHidden/>
                <w:sz w:val="24"/>
              </w:rPr>
              <w:fldChar w:fldCharType="begin"/>
            </w:r>
            <w:r>
              <w:rPr>
                <w:rFonts w:asciiTheme="majorBidi" w:hAnsiTheme="majorBidi" w:cstheme="majorBidi"/>
                <w:noProof/>
                <w:webHidden/>
                <w:sz w:val="24"/>
              </w:rPr>
              <w:instrText xml:space="preserve"> PAGEREF _Toc221804488 \h </w:instrText>
            </w:r>
            <w:r>
              <w:rPr>
                <w:rFonts w:asciiTheme="majorBidi" w:hAnsiTheme="majorBidi" w:cstheme="majorBidi"/>
                <w:noProof/>
                <w:webHidden/>
                <w:sz w:val="24"/>
              </w:rPr>
            </w:r>
            <w:r>
              <w:rPr>
                <w:rFonts w:asciiTheme="majorBidi" w:hAnsiTheme="majorBidi" w:cstheme="majorBidi"/>
                <w:noProof/>
                <w:webHidden/>
                <w:sz w:val="24"/>
              </w:rPr>
              <w:fldChar w:fldCharType="separate"/>
            </w:r>
            <w:r w:rsidR="00B55114">
              <w:rPr>
                <w:rFonts w:asciiTheme="majorBidi" w:hAnsiTheme="majorBidi" w:cstheme="majorBidi"/>
                <w:noProof/>
                <w:webHidden/>
                <w:sz w:val="24"/>
              </w:rPr>
              <w:t>1</w:t>
            </w:r>
            <w:r>
              <w:rPr>
                <w:rFonts w:asciiTheme="majorBidi" w:hAnsiTheme="majorBidi" w:cstheme="majorBidi"/>
                <w:noProof/>
                <w:webHidden/>
                <w:sz w:val="24"/>
              </w:rPr>
              <w:fldChar w:fldCharType="end"/>
            </w:r>
          </w:hyperlink>
        </w:p>
        <w:p w14:paraId="3975A791" w14:textId="17426EC1" w:rsidR="008819FD" w:rsidRPr="008819FD" w:rsidRDefault="00CC217E">
          <w:pPr>
            <w:pStyle w:val="TOC2"/>
            <w:rPr>
              <w:rFonts w:asciiTheme="majorBidi" w:eastAsiaTheme="minorEastAsia" w:hAnsiTheme="majorBidi" w:cstheme="majorBidi"/>
              <w:noProof/>
              <w:kern w:val="2"/>
              <w14:ligatures w14:val="standardContextual"/>
            </w:rPr>
          </w:pPr>
          <w:hyperlink w:anchor="_Toc221804489" w:history="1">
            <w:r w:rsidR="00E1792A">
              <w:rPr>
                <w:rStyle w:val="Hyperlink"/>
                <w:rFonts w:asciiTheme="majorBidi" w:hAnsiTheme="majorBidi" w:cstheme="majorBidi"/>
                <w:noProof/>
                <w:lang w:val="en-GB"/>
              </w:rPr>
              <w:t>1.1 Research Background</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_Toc221804489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w:t>
            </w:r>
            <w:r w:rsidR="00E1792A">
              <w:rPr>
                <w:rFonts w:asciiTheme="majorBidi" w:hAnsiTheme="majorBidi" w:cstheme="majorBidi"/>
                <w:noProof/>
                <w:webHidden/>
              </w:rPr>
              <w:fldChar w:fldCharType="end"/>
            </w:r>
          </w:hyperlink>
        </w:p>
        <w:p w14:paraId="71AA4432" w14:textId="090F1E73" w:rsidR="008819FD" w:rsidRPr="008819FD" w:rsidRDefault="00CC217E">
          <w:pPr>
            <w:pStyle w:val="TOC2"/>
            <w:rPr>
              <w:rFonts w:asciiTheme="majorBidi" w:eastAsiaTheme="minorEastAsia" w:hAnsiTheme="majorBidi" w:cstheme="majorBidi"/>
              <w:noProof/>
              <w:kern w:val="2"/>
              <w14:ligatures w14:val="standardContextual"/>
            </w:rPr>
          </w:pPr>
          <w:hyperlink w:anchor="_Toc221804490" w:history="1">
            <w:r w:rsidR="00E1792A">
              <w:rPr>
                <w:rStyle w:val="Hyperlink"/>
                <w:rFonts w:asciiTheme="majorBidi" w:hAnsiTheme="majorBidi" w:cstheme="majorBidi"/>
                <w:noProof/>
                <w:lang w:val="en-GB"/>
              </w:rPr>
              <w:t>1.2 Research Problem</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_Toc221804490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w:t>
            </w:r>
            <w:r w:rsidR="00E1792A">
              <w:rPr>
                <w:rFonts w:asciiTheme="majorBidi" w:hAnsiTheme="majorBidi" w:cstheme="majorBidi"/>
                <w:noProof/>
                <w:webHidden/>
              </w:rPr>
              <w:fldChar w:fldCharType="end"/>
            </w:r>
          </w:hyperlink>
        </w:p>
        <w:p w14:paraId="2C072482" w14:textId="5E5A52E3"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491" w:history="1">
            <w:r w:rsidR="00E1792A">
              <w:rPr>
                <w:rStyle w:val="Hyperlink"/>
                <w:rFonts w:asciiTheme="majorBidi" w:hAnsiTheme="majorBidi" w:cstheme="majorBidi"/>
                <w:noProof/>
                <w:sz w:val="24"/>
              </w:rPr>
              <w:t>Research Questions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_Toc221804491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8</w:t>
            </w:r>
            <w:r w:rsidR="00E1792A">
              <w:rPr>
                <w:rFonts w:asciiTheme="majorBidi" w:hAnsiTheme="majorBidi" w:cstheme="majorBidi"/>
                <w:noProof/>
                <w:webHidden/>
                <w:sz w:val="24"/>
              </w:rPr>
              <w:fldChar w:fldCharType="end"/>
            </w:r>
          </w:hyperlink>
        </w:p>
        <w:p w14:paraId="291049E6" w14:textId="4096511F" w:rsidR="008819FD" w:rsidRPr="008819FD" w:rsidRDefault="00CC217E">
          <w:pPr>
            <w:pStyle w:val="TOC2"/>
            <w:rPr>
              <w:rFonts w:asciiTheme="majorBidi" w:eastAsiaTheme="minorEastAsia" w:hAnsiTheme="majorBidi" w:cstheme="majorBidi"/>
              <w:noProof/>
              <w:kern w:val="2"/>
              <w14:ligatures w14:val="standardContextual"/>
            </w:rPr>
          </w:pPr>
          <w:hyperlink w:anchor="_Toc221804492" w:history="1">
            <w:r w:rsidR="00E1792A">
              <w:rPr>
                <w:rStyle w:val="Hyperlink"/>
                <w:rFonts w:asciiTheme="majorBidi" w:hAnsiTheme="majorBidi" w:cstheme="majorBidi"/>
                <w:noProof/>
              </w:rPr>
              <w:t>1.3 Justification of the Study</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_Toc221804492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10</w:t>
            </w:r>
            <w:r w:rsidR="00E1792A">
              <w:rPr>
                <w:rFonts w:asciiTheme="majorBidi" w:hAnsiTheme="majorBidi" w:cstheme="majorBidi"/>
                <w:noProof/>
                <w:webHidden/>
              </w:rPr>
              <w:fldChar w:fldCharType="end"/>
            </w:r>
          </w:hyperlink>
        </w:p>
        <w:p w14:paraId="70EFB8A5" w14:textId="289CAD2B" w:rsidR="008819FD" w:rsidRPr="008819FD" w:rsidRDefault="00CC217E">
          <w:pPr>
            <w:pStyle w:val="TOC2"/>
            <w:rPr>
              <w:rFonts w:asciiTheme="majorBidi" w:eastAsiaTheme="minorEastAsia" w:hAnsiTheme="majorBidi" w:cstheme="majorBidi"/>
              <w:noProof/>
              <w:kern w:val="2"/>
              <w14:ligatures w14:val="standardContextual"/>
            </w:rPr>
          </w:pPr>
          <w:hyperlink w:anchor="_Toc221804493" w:history="1">
            <w:r w:rsidR="00E1792A">
              <w:rPr>
                <w:rStyle w:val="Hyperlink"/>
                <w:rFonts w:asciiTheme="majorBidi" w:hAnsiTheme="majorBidi" w:cstheme="majorBidi"/>
                <w:noProof/>
              </w:rPr>
              <w:t>1.4 Research Objectives and Aims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_Toc221804493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11</w:t>
            </w:r>
            <w:r w:rsidR="00E1792A">
              <w:rPr>
                <w:rFonts w:asciiTheme="majorBidi" w:hAnsiTheme="majorBidi" w:cstheme="majorBidi"/>
                <w:noProof/>
                <w:webHidden/>
              </w:rPr>
              <w:fldChar w:fldCharType="end"/>
            </w:r>
          </w:hyperlink>
        </w:p>
        <w:p w14:paraId="378B85B5" w14:textId="7044916F" w:rsidR="008819FD" w:rsidRPr="008819FD" w:rsidRDefault="00CC217E">
          <w:pPr>
            <w:pStyle w:val="TOC3"/>
            <w:rPr>
              <w:rFonts w:asciiTheme="majorBidi" w:eastAsiaTheme="minorEastAsia" w:hAnsiTheme="majorBidi" w:cstheme="majorBidi"/>
              <w:noProof/>
              <w:kern w:val="2"/>
              <w:sz w:val="24"/>
              <w14:ligatures w14:val="standardContextual"/>
            </w:rPr>
          </w:pPr>
          <w:hyperlink w:anchor="_Toc221804494" w:history="1">
            <w:r w:rsidR="00E1792A">
              <w:rPr>
                <w:rStyle w:val="Hyperlink"/>
                <w:rFonts w:asciiTheme="majorBidi" w:hAnsiTheme="majorBidi" w:cstheme="majorBidi"/>
                <w:noProof/>
                <w:sz w:val="24"/>
              </w:rPr>
              <w:t>Aims of the Research</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_Toc221804494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11</w:t>
            </w:r>
            <w:r w:rsidR="00E1792A">
              <w:rPr>
                <w:rFonts w:asciiTheme="majorBidi" w:hAnsiTheme="majorBidi" w:cstheme="majorBidi"/>
                <w:noProof/>
                <w:webHidden/>
                <w:sz w:val="24"/>
              </w:rPr>
              <w:fldChar w:fldCharType="end"/>
            </w:r>
          </w:hyperlink>
        </w:p>
        <w:p w14:paraId="7E953CA7" w14:textId="4B6FA6D9" w:rsidR="008819FD" w:rsidRPr="008819FD" w:rsidRDefault="00CC217E">
          <w:pPr>
            <w:pStyle w:val="TOC3"/>
            <w:rPr>
              <w:rFonts w:asciiTheme="majorBidi" w:eastAsiaTheme="minorEastAsia" w:hAnsiTheme="majorBidi" w:cstheme="majorBidi"/>
              <w:noProof/>
              <w:kern w:val="2"/>
              <w:sz w:val="24"/>
              <w14:ligatures w14:val="standardContextual"/>
            </w:rPr>
          </w:pPr>
          <w:hyperlink w:anchor="_Toc221804495" w:history="1">
            <w:r w:rsidR="00E1792A">
              <w:rPr>
                <w:rStyle w:val="Hyperlink"/>
                <w:rFonts w:asciiTheme="majorBidi" w:hAnsiTheme="majorBidi" w:cstheme="majorBidi"/>
                <w:noProof/>
                <w:sz w:val="24"/>
              </w:rPr>
              <w:t>Research Objectives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_Toc221804495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11</w:t>
            </w:r>
            <w:r w:rsidR="00E1792A">
              <w:rPr>
                <w:rFonts w:asciiTheme="majorBidi" w:hAnsiTheme="majorBidi" w:cstheme="majorBidi"/>
                <w:noProof/>
                <w:webHidden/>
                <w:sz w:val="24"/>
              </w:rPr>
              <w:fldChar w:fldCharType="end"/>
            </w:r>
          </w:hyperlink>
        </w:p>
        <w:p w14:paraId="3E44D2F2" w14:textId="36910DE5" w:rsidR="008819FD" w:rsidRPr="008819FD" w:rsidRDefault="00CC217E">
          <w:pPr>
            <w:pStyle w:val="TOC2"/>
            <w:rPr>
              <w:rFonts w:asciiTheme="majorBidi" w:eastAsiaTheme="minorEastAsia" w:hAnsiTheme="majorBidi" w:cstheme="majorBidi"/>
              <w:noProof/>
              <w:kern w:val="2"/>
              <w14:ligatures w14:val="standardContextual"/>
            </w:rPr>
          </w:pPr>
          <w:hyperlink w:anchor="_Toc221804496" w:history="1">
            <w:r w:rsidR="00E1792A">
              <w:rPr>
                <w:rStyle w:val="Hyperlink"/>
                <w:rFonts w:asciiTheme="majorBidi" w:hAnsiTheme="majorBidi" w:cstheme="majorBidi"/>
                <w:noProof/>
              </w:rPr>
              <w:t>1.5 Research Methodology</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_Toc221804496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12</w:t>
            </w:r>
            <w:r w:rsidR="00E1792A">
              <w:rPr>
                <w:rFonts w:asciiTheme="majorBidi" w:hAnsiTheme="majorBidi" w:cstheme="majorBidi"/>
                <w:noProof/>
                <w:webHidden/>
              </w:rPr>
              <w:fldChar w:fldCharType="end"/>
            </w:r>
          </w:hyperlink>
        </w:p>
        <w:p w14:paraId="715D668D" w14:textId="1968A29D" w:rsidR="008819FD" w:rsidRPr="008819FD" w:rsidRDefault="00CC217E">
          <w:pPr>
            <w:pStyle w:val="TOC2"/>
            <w:rPr>
              <w:rFonts w:asciiTheme="majorBidi" w:eastAsiaTheme="minorEastAsia" w:hAnsiTheme="majorBidi" w:cstheme="majorBidi"/>
              <w:noProof/>
              <w:kern w:val="2"/>
              <w14:ligatures w14:val="standardContextual"/>
            </w:rPr>
          </w:pPr>
          <w:hyperlink w:anchor="_Toc221804497" w:history="1">
            <w:r w:rsidR="00E1792A">
              <w:rPr>
                <w:rStyle w:val="Hyperlink"/>
                <w:rFonts w:asciiTheme="majorBidi" w:hAnsiTheme="majorBidi" w:cstheme="majorBidi"/>
                <w:noProof/>
              </w:rPr>
              <w:t>1.6 The Novelty of the Research</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_Toc221804497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13</w:t>
            </w:r>
            <w:r w:rsidR="00E1792A">
              <w:rPr>
                <w:rFonts w:asciiTheme="majorBidi" w:hAnsiTheme="majorBidi" w:cstheme="majorBidi"/>
                <w:noProof/>
                <w:webHidden/>
              </w:rPr>
              <w:fldChar w:fldCharType="end"/>
            </w:r>
          </w:hyperlink>
        </w:p>
        <w:p w14:paraId="27342ADB" w14:textId="6816FDBA" w:rsidR="008819FD" w:rsidRPr="008819FD" w:rsidRDefault="00CC217E">
          <w:pPr>
            <w:pStyle w:val="TOC2"/>
            <w:rPr>
              <w:rFonts w:asciiTheme="majorBidi" w:eastAsiaTheme="minorEastAsia" w:hAnsiTheme="majorBidi" w:cstheme="majorBidi"/>
              <w:noProof/>
              <w:kern w:val="2"/>
              <w14:ligatures w14:val="standardContextual"/>
            </w:rPr>
          </w:pPr>
          <w:hyperlink w:anchor="_Toc221804498" w:history="1">
            <w:r w:rsidR="00E1792A">
              <w:rPr>
                <w:rStyle w:val="Hyperlink"/>
                <w:rFonts w:asciiTheme="majorBidi" w:hAnsiTheme="majorBidi" w:cstheme="majorBidi"/>
                <w:noProof/>
              </w:rPr>
              <w:t>1.7 Limitations of the Study</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_Toc221804498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14</w:t>
            </w:r>
            <w:r w:rsidR="00E1792A">
              <w:rPr>
                <w:rFonts w:asciiTheme="majorBidi" w:hAnsiTheme="majorBidi" w:cstheme="majorBidi"/>
                <w:noProof/>
                <w:webHidden/>
              </w:rPr>
              <w:fldChar w:fldCharType="end"/>
            </w:r>
          </w:hyperlink>
        </w:p>
        <w:p w14:paraId="175CE250" w14:textId="7C445004" w:rsidR="008819FD" w:rsidRPr="008819FD" w:rsidRDefault="00CC217E">
          <w:pPr>
            <w:pStyle w:val="TOC2"/>
            <w:rPr>
              <w:rFonts w:asciiTheme="majorBidi" w:eastAsiaTheme="minorEastAsia" w:hAnsiTheme="majorBidi" w:cstheme="majorBidi"/>
              <w:noProof/>
              <w:kern w:val="2"/>
              <w14:ligatures w14:val="standardContextual"/>
            </w:rPr>
          </w:pPr>
          <w:hyperlink w:anchor="_Toc221804499" w:history="1">
            <w:r w:rsidR="00E1792A">
              <w:rPr>
                <w:rStyle w:val="Hyperlink"/>
                <w:rFonts w:asciiTheme="majorBidi" w:hAnsiTheme="majorBidi" w:cstheme="majorBidi"/>
                <w:noProof/>
              </w:rPr>
              <w:t>1.8 Conclusion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_Toc221804499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15</w:t>
            </w:r>
            <w:r w:rsidR="00E1792A">
              <w:rPr>
                <w:rFonts w:asciiTheme="majorBidi" w:hAnsiTheme="majorBidi" w:cstheme="majorBidi"/>
                <w:noProof/>
                <w:webHidden/>
              </w:rPr>
              <w:fldChar w:fldCharType="end"/>
            </w:r>
          </w:hyperlink>
        </w:p>
        <w:p w14:paraId="6162C6DD" w14:textId="25C71509" w:rsidR="008819FD" w:rsidRPr="008819FD" w:rsidRDefault="00CC217E">
          <w:pPr>
            <w:pStyle w:val="TOC1"/>
            <w:rPr>
              <w:rFonts w:asciiTheme="majorBidi" w:eastAsiaTheme="minorEastAsia" w:hAnsiTheme="majorBidi" w:cstheme="majorBidi"/>
              <w:b w:val="0"/>
              <w:noProof/>
              <w:kern w:val="2"/>
              <w:sz w:val="24"/>
              <w14:ligatures w14:val="standardContextual"/>
            </w:rPr>
          </w:pPr>
          <w:hyperlink w:anchor="_Toc221804500" w:history="1">
            <w:r w:rsidR="00E1792A">
              <w:rPr>
                <w:rStyle w:val="Hyperlink"/>
                <w:rFonts w:asciiTheme="majorBidi" w:hAnsiTheme="majorBidi" w:cstheme="majorBidi"/>
                <w:noProof/>
                <w:sz w:val="24"/>
              </w:rPr>
              <w:t>Chapter 2 : Conceptual Foundations of Online Arbitration and Associated Challenges – A Literature Review</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_Toc221804500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16</w:t>
            </w:r>
            <w:r w:rsidR="00E1792A">
              <w:rPr>
                <w:rFonts w:asciiTheme="majorBidi" w:hAnsiTheme="majorBidi" w:cstheme="majorBidi"/>
                <w:noProof/>
                <w:webHidden/>
                <w:sz w:val="24"/>
              </w:rPr>
              <w:fldChar w:fldCharType="end"/>
            </w:r>
          </w:hyperlink>
        </w:p>
        <w:p w14:paraId="25740825" w14:textId="592BECE3" w:rsidR="008819FD" w:rsidRPr="008819FD" w:rsidRDefault="00CC217E">
          <w:pPr>
            <w:pStyle w:val="TOC2"/>
            <w:rPr>
              <w:rFonts w:asciiTheme="majorBidi" w:eastAsiaTheme="minorEastAsia" w:hAnsiTheme="majorBidi" w:cstheme="majorBidi"/>
              <w:noProof/>
              <w:kern w:val="2"/>
              <w14:ligatures w14:val="standardContextual"/>
            </w:rPr>
          </w:pPr>
          <w:hyperlink w:anchor="_Toc221804501" w:history="1">
            <w:r w:rsidR="00E1792A">
              <w:rPr>
                <w:rStyle w:val="Hyperlink"/>
                <w:rFonts w:asciiTheme="majorBidi" w:hAnsiTheme="majorBidi" w:cstheme="majorBidi"/>
                <w:noProof/>
              </w:rPr>
              <w:t>2.1 Conceptual Overview of Online Arbitration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_Toc221804501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16</w:t>
            </w:r>
            <w:r w:rsidR="00E1792A">
              <w:rPr>
                <w:rFonts w:asciiTheme="majorBidi" w:hAnsiTheme="majorBidi" w:cstheme="majorBidi"/>
                <w:noProof/>
                <w:webHidden/>
              </w:rPr>
              <w:fldChar w:fldCharType="end"/>
            </w:r>
          </w:hyperlink>
        </w:p>
        <w:p w14:paraId="6F693095" w14:textId="75D1083C" w:rsidR="008819FD" w:rsidRPr="008819FD" w:rsidRDefault="00CC217E">
          <w:pPr>
            <w:pStyle w:val="TOC3"/>
            <w:rPr>
              <w:rFonts w:asciiTheme="majorBidi" w:eastAsiaTheme="minorEastAsia" w:hAnsiTheme="majorBidi" w:cstheme="majorBidi"/>
              <w:noProof/>
              <w:kern w:val="2"/>
              <w:sz w:val="24"/>
              <w14:ligatures w14:val="standardContextual"/>
            </w:rPr>
          </w:pPr>
          <w:hyperlink w:anchor="_Toc221804502" w:history="1">
            <w:r w:rsidR="00E1792A">
              <w:rPr>
                <w:rStyle w:val="Hyperlink"/>
                <w:rFonts w:asciiTheme="majorBidi" w:hAnsiTheme="majorBidi" w:cstheme="majorBidi"/>
                <w:noProof/>
                <w:sz w:val="24"/>
              </w:rPr>
              <w:t>Legal and Operational Definition of Online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_Toc221804502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16</w:t>
            </w:r>
            <w:r w:rsidR="00E1792A">
              <w:rPr>
                <w:rFonts w:asciiTheme="majorBidi" w:hAnsiTheme="majorBidi" w:cstheme="majorBidi"/>
                <w:noProof/>
                <w:webHidden/>
                <w:sz w:val="24"/>
              </w:rPr>
              <w:fldChar w:fldCharType="end"/>
            </w:r>
          </w:hyperlink>
        </w:p>
        <w:p w14:paraId="3179A65C" w14:textId="2CB12183"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03" w:history="1">
            <w:r w:rsidR="00E1792A">
              <w:rPr>
                <w:rStyle w:val="Hyperlink"/>
                <w:rFonts w:asciiTheme="majorBidi" w:hAnsiTheme="majorBidi" w:cstheme="majorBidi"/>
                <w:noProof/>
                <w:sz w:val="24"/>
              </w:rPr>
              <w:t>The Concept of Electronic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_Toc221804503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20</w:t>
            </w:r>
            <w:r w:rsidR="00E1792A">
              <w:rPr>
                <w:rFonts w:asciiTheme="majorBidi" w:hAnsiTheme="majorBidi" w:cstheme="majorBidi"/>
                <w:noProof/>
                <w:webHidden/>
                <w:sz w:val="24"/>
              </w:rPr>
              <w:fldChar w:fldCharType="end"/>
            </w:r>
          </w:hyperlink>
        </w:p>
        <w:p w14:paraId="22EFF65C" w14:textId="6C483904"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04" w:history="1">
            <w:r w:rsidR="00E1792A">
              <w:rPr>
                <w:rStyle w:val="Hyperlink"/>
                <w:rFonts w:asciiTheme="majorBidi" w:hAnsiTheme="majorBidi" w:cstheme="majorBidi"/>
                <w:noProof/>
                <w:sz w:val="24"/>
              </w:rPr>
              <w:t>The Philosophical and Legal Basis of Electronic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_Toc221804504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24</w:t>
            </w:r>
            <w:r w:rsidR="00E1792A">
              <w:rPr>
                <w:rFonts w:asciiTheme="majorBidi" w:hAnsiTheme="majorBidi" w:cstheme="majorBidi"/>
                <w:noProof/>
                <w:webHidden/>
                <w:sz w:val="24"/>
              </w:rPr>
              <w:fldChar w:fldCharType="end"/>
            </w:r>
          </w:hyperlink>
        </w:p>
        <w:p w14:paraId="6ACAE037" w14:textId="6F7CE760"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05" w:history="1">
            <w:r w:rsidR="00E1792A">
              <w:rPr>
                <w:rStyle w:val="Hyperlink"/>
                <w:rFonts w:asciiTheme="majorBidi" w:hAnsiTheme="majorBidi" w:cstheme="majorBidi"/>
                <w:noProof/>
                <w:sz w:val="24"/>
              </w:rPr>
              <w:t>The Legal Basis for Electronic Arbitration Procedures in the UAE</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_Toc221804505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25</w:t>
            </w:r>
            <w:r w:rsidR="00E1792A">
              <w:rPr>
                <w:rFonts w:asciiTheme="majorBidi" w:hAnsiTheme="majorBidi" w:cstheme="majorBidi"/>
                <w:noProof/>
                <w:webHidden/>
                <w:sz w:val="24"/>
              </w:rPr>
              <w:fldChar w:fldCharType="end"/>
            </w:r>
          </w:hyperlink>
        </w:p>
        <w:p w14:paraId="0408920C" w14:textId="54D4FA7D"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06" w:history="1">
            <w:r w:rsidR="00E1792A">
              <w:rPr>
                <w:rStyle w:val="Hyperlink"/>
                <w:rFonts w:asciiTheme="majorBidi" w:hAnsiTheme="majorBidi" w:cstheme="majorBidi"/>
                <w:noProof/>
                <w:sz w:val="24"/>
              </w:rPr>
              <w:t>Differences Between Traditional and Online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_Toc221804506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30</w:t>
            </w:r>
            <w:r w:rsidR="00E1792A">
              <w:rPr>
                <w:rFonts w:asciiTheme="majorBidi" w:hAnsiTheme="majorBidi" w:cstheme="majorBidi"/>
                <w:noProof/>
                <w:webHidden/>
                <w:sz w:val="24"/>
              </w:rPr>
              <w:fldChar w:fldCharType="end"/>
            </w:r>
          </w:hyperlink>
        </w:p>
        <w:p w14:paraId="57D797C5" w14:textId="440DAF82"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07" w:history="1">
            <w:r w:rsidR="00E1792A">
              <w:rPr>
                <w:rStyle w:val="Hyperlink"/>
                <w:rFonts w:asciiTheme="majorBidi" w:hAnsiTheme="majorBidi" w:cstheme="majorBidi"/>
                <w:noProof/>
                <w:sz w:val="24"/>
              </w:rPr>
              <w:t>Legal Advantages of Online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_Toc221804507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34</w:t>
            </w:r>
            <w:r w:rsidR="00E1792A">
              <w:rPr>
                <w:rFonts w:asciiTheme="majorBidi" w:hAnsiTheme="majorBidi" w:cstheme="majorBidi"/>
                <w:noProof/>
                <w:webHidden/>
                <w:sz w:val="24"/>
              </w:rPr>
              <w:fldChar w:fldCharType="end"/>
            </w:r>
          </w:hyperlink>
        </w:p>
        <w:p w14:paraId="04E6505D" w14:textId="4279B90F"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08" w:history="1">
            <w:r w:rsidR="00E1792A">
              <w:rPr>
                <w:rStyle w:val="Hyperlink"/>
                <w:rFonts w:asciiTheme="majorBidi" w:hAnsiTheme="majorBidi" w:cstheme="majorBidi"/>
                <w:noProof/>
                <w:sz w:val="24"/>
              </w:rPr>
              <w:t>Technical Challenges in Online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_Toc221804508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39</w:t>
            </w:r>
            <w:r w:rsidR="00E1792A">
              <w:rPr>
                <w:rFonts w:asciiTheme="majorBidi" w:hAnsiTheme="majorBidi" w:cstheme="majorBidi"/>
                <w:noProof/>
                <w:webHidden/>
                <w:sz w:val="24"/>
              </w:rPr>
              <w:fldChar w:fldCharType="end"/>
            </w:r>
          </w:hyperlink>
        </w:p>
        <w:p w14:paraId="12A5B390" w14:textId="4B22BDCE"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09" w:history="1">
            <w:r w:rsidR="00E1792A">
              <w:rPr>
                <w:rStyle w:val="Hyperlink"/>
                <w:rFonts w:asciiTheme="majorBidi" w:hAnsiTheme="majorBidi" w:cstheme="majorBidi"/>
                <w:noProof/>
                <w:sz w:val="24"/>
              </w:rPr>
              <w:t>Acceptance of Online Arbitration in Different Legal Systems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_Toc221804509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47</w:t>
            </w:r>
            <w:r w:rsidR="00E1792A">
              <w:rPr>
                <w:rFonts w:asciiTheme="majorBidi" w:hAnsiTheme="majorBidi" w:cstheme="majorBidi"/>
                <w:noProof/>
                <w:webHidden/>
                <w:sz w:val="24"/>
              </w:rPr>
              <w:fldChar w:fldCharType="end"/>
            </w:r>
          </w:hyperlink>
        </w:p>
        <w:p w14:paraId="79E6627E" w14:textId="2C2E63A1" w:rsidR="008819FD" w:rsidRPr="008819FD" w:rsidRDefault="004A062E">
          <w:pPr>
            <w:pStyle w:val="TOC2"/>
            <w:rPr>
              <w:rFonts w:asciiTheme="majorBidi" w:eastAsiaTheme="minorEastAsia" w:hAnsiTheme="majorBidi" w:cstheme="majorBidi"/>
              <w:noProof/>
              <w:kern w:val="2"/>
              <w14:ligatures w14:val="standardContextual"/>
            </w:rPr>
          </w:pPr>
          <w:hyperlink w:anchor="_Toc221804510" w:history="1">
            <w:r w:rsidR="00E1792A">
              <w:rPr>
                <w:rStyle w:val="Hyperlink"/>
                <w:rFonts w:asciiTheme="majorBidi" w:hAnsiTheme="majorBidi" w:cstheme="majorBidi"/>
                <w:noProof/>
                <w:lang w:bidi="ar-AE"/>
              </w:rPr>
              <w:t>2.2 Technical Aspects of Online Arbitration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_Toc221804510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54</w:t>
            </w:r>
            <w:r w:rsidR="00E1792A">
              <w:rPr>
                <w:rFonts w:asciiTheme="majorBidi" w:hAnsiTheme="majorBidi" w:cstheme="majorBidi"/>
                <w:noProof/>
                <w:webHidden/>
              </w:rPr>
              <w:fldChar w:fldCharType="end"/>
            </w:r>
          </w:hyperlink>
        </w:p>
        <w:p w14:paraId="165D6B0B" w14:textId="16C9264A" w:rsidR="008819FD" w:rsidRPr="008819FD" w:rsidRDefault="004A062E">
          <w:pPr>
            <w:pStyle w:val="TOC2"/>
            <w:rPr>
              <w:rFonts w:asciiTheme="majorBidi" w:eastAsiaTheme="minorEastAsia" w:hAnsiTheme="majorBidi" w:cstheme="majorBidi"/>
              <w:noProof/>
              <w:kern w:val="2"/>
              <w14:ligatures w14:val="standardContextual"/>
            </w:rPr>
          </w:pPr>
          <w:hyperlink w:anchor="_Toc221804511" w:history="1">
            <w:r w:rsidR="00E1792A">
              <w:rPr>
                <w:rStyle w:val="Hyperlink"/>
                <w:rFonts w:asciiTheme="majorBidi" w:hAnsiTheme="majorBidi" w:cstheme="majorBidi"/>
                <w:noProof/>
                <w:lang w:bidi="ar-AE"/>
              </w:rPr>
              <w:t>2.3 The Importance of Confidentiality in Arbitration in Comparative Legislation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_Toc221804511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61</w:t>
            </w:r>
            <w:r w:rsidR="00E1792A">
              <w:rPr>
                <w:rFonts w:asciiTheme="majorBidi" w:hAnsiTheme="majorBidi" w:cstheme="majorBidi"/>
                <w:noProof/>
                <w:webHidden/>
              </w:rPr>
              <w:fldChar w:fldCharType="end"/>
            </w:r>
          </w:hyperlink>
        </w:p>
        <w:p w14:paraId="18E054CC" w14:textId="4E139DB3" w:rsidR="008819FD" w:rsidRPr="008819FD" w:rsidRDefault="004A062E">
          <w:pPr>
            <w:pStyle w:val="TOC2"/>
            <w:rPr>
              <w:rFonts w:asciiTheme="majorBidi" w:eastAsiaTheme="minorEastAsia" w:hAnsiTheme="majorBidi" w:cstheme="majorBidi"/>
              <w:noProof/>
              <w:kern w:val="2"/>
              <w14:ligatures w14:val="standardContextual"/>
            </w:rPr>
          </w:pPr>
          <w:hyperlink w:anchor="_Toc221804512" w:history="1">
            <w:r w:rsidR="00E1792A">
              <w:rPr>
                <w:rStyle w:val="Hyperlink"/>
                <w:rFonts w:asciiTheme="majorBidi" w:hAnsiTheme="majorBidi" w:cstheme="majorBidi"/>
                <w:noProof/>
                <w:lang w:bidi="ar-AE"/>
              </w:rPr>
              <w:t>2.4 Digital technologies in commercial arbitration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_Toc221804512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83</w:t>
            </w:r>
            <w:r w:rsidR="00E1792A">
              <w:rPr>
                <w:rFonts w:asciiTheme="majorBidi" w:hAnsiTheme="majorBidi" w:cstheme="majorBidi"/>
                <w:noProof/>
                <w:webHidden/>
              </w:rPr>
              <w:fldChar w:fldCharType="end"/>
            </w:r>
          </w:hyperlink>
        </w:p>
        <w:p w14:paraId="7121DABE" w14:textId="432D00C2"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13" w:history="1">
            <w:r w:rsidR="00E1792A">
              <w:rPr>
                <w:rStyle w:val="Hyperlink"/>
                <w:rFonts w:asciiTheme="majorBidi" w:hAnsiTheme="majorBidi" w:cstheme="majorBidi"/>
                <w:noProof/>
                <w:sz w:val="24"/>
                <w:lang w:bidi="ar-AE"/>
              </w:rPr>
              <w:t>2.4.1 Emails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_Toc221804513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84</w:t>
            </w:r>
            <w:r w:rsidR="00E1792A">
              <w:rPr>
                <w:rFonts w:asciiTheme="majorBidi" w:hAnsiTheme="majorBidi" w:cstheme="majorBidi"/>
                <w:noProof/>
                <w:webHidden/>
                <w:sz w:val="24"/>
              </w:rPr>
              <w:fldChar w:fldCharType="end"/>
            </w:r>
          </w:hyperlink>
        </w:p>
        <w:p w14:paraId="3AD1938D" w14:textId="0D8A343C"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14" w:history="1">
            <w:r w:rsidR="00E1792A">
              <w:rPr>
                <w:rStyle w:val="Hyperlink"/>
                <w:rFonts w:asciiTheme="majorBidi" w:hAnsiTheme="majorBidi" w:cstheme="majorBidi"/>
                <w:noProof/>
                <w:sz w:val="24"/>
                <w:lang w:bidi="ar-AE"/>
              </w:rPr>
              <w:t>2.4.2 Cloud storage</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_Toc221804514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92</w:t>
            </w:r>
            <w:r w:rsidR="00E1792A">
              <w:rPr>
                <w:rFonts w:asciiTheme="majorBidi" w:hAnsiTheme="majorBidi" w:cstheme="majorBidi"/>
                <w:noProof/>
                <w:webHidden/>
                <w:sz w:val="24"/>
              </w:rPr>
              <w:fldChar w:fldCharType="end"/>
            </w:r>
          </w:hyperlink>
        </w:p>
        <w:p w14:paraId="15164AB0" w14:textId="706AE880"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15" w:history="1">
            <w:r w:rsidR="00E1792A">
              <w:rPr>
                <w:rStyle w:val="Hyperlink"/>
                <w:rFonts w:asciiTheme="majorBidi" w:hAnsiTheme="majorBidi" w:cstheme="majorBidi"/>
                <w:noProof/>
                <w:sz w:val="24"/>
                <w:lang w:bidi="ar-AE"/>
              </w:rPr>
              <w:t>2.4.3 Video conferencing platforms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_Toc221804515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96</w:t>
            </w:r>
            <w:r w:rsidR="00E1792A">
              <w:rPr>
                <w:rFonts w:asciiTheme="majorBidi" w:hAnsiTheme="majorBidi" w:cstheme="majorBidi"/>
                <w:noProof/>
                <w:webHidden/>
                <w:sz w:val="24"/>
              </w:rPr>
              <w:fldChar w:fldCharType="end"/>
            </w:r>
          </w:hyperlink>
        </w:p>
        <w:p w14:paraId="133BF9D6" w14:textId="3EF6E698" w:rsidR="008819FD" w:rsidRPr="008819FD" w:rsidRDefault="004A062E">
          <w:pPr>
            <w:pStyle w:val="TOC2"/>
            <w:rPr>
              <w:rFonts w:asciiTheme="majorBidi" w:eastAsiaTheme="minorEastAsia" w:hAnsiTheme="majorBidi" w:cstheme="majorBidi"/>
              <w:noProof/>
              <w:kern w:val="2"/>
              <w14:ligatures w14:val="standardContextual"/>
            </w:rPr>
          </w:pPr>
          <w:hyperlink w:anchor="_Toc221804516" w:history="1">
            <w:r w:rsidR="00E1792A">
              <w:rPr>
                <w:rStyle w:val="Hyperlink"/>
                <w:rFonts w:asciiTheme="majorBidi" w:hAnsiTheme="majorBidi" w:cstheme="majorBidi"/>
                <w:noProof/>
                <w:lang w:bidi="ar-AE"/>
              </w:rPr>
              <w:t>2.5 Redefining Confidentiality and Privacy for the Increased Use of Digital Technologies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_Toc221804516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108</w:t>
            </w:r>
            <w:r w:rsidR="00E1792A">
              <w:rPr>
                <w:rFonts w:asciiTheme="majorBidi" w:hAnsiTheme="majorBidi" w:cstheme="majorBidi"/>
                <w:noProof/>
                <w:webHidden/>
              </w:rPr>
              <w:fldChar w:fldCharType="end"/>
            </w:r>
          </w:hyperlink>
        </w:p>
        <w:p w14:paraId="7EEC4D8C" w14:textId="31280D9C" w:rsidR="008819FD" w:rsidRPr="008819FD" w:rsidRDefault="004A062E">
          <w:pPr>
            <w:pStyle w:val="TOC2"/>
            <w:rPr>
              <w:rFonts w:asciiTheme="majorBidi" w:eastAsiaTheme="minorEastAsia" w:hAnsiTheme="majorBidi" w:cstheme="majorBidi"/>
              <w:noProof/>
              <w:kern w:val="2"/>
              <w14:ligatures w14:val="standardContextual"/>
            </w:rPr>
          </w:pPr>
          <w:hyperlink w:anchor="_Toc221804517" w:history="1">
            <w:r w:rsidR="00E1792A">
              <w:rPr>
                <w:rStyle w:val="Hyperlink"/>
                <w:rFonts w:asciiTheme="majorBidi" w:hAnsiTheme="majorBidi" w:cstheme="majorBidi"/>
                <w:noProof/>
                <w:lang w:val="en-GB" w:bidi="en-US"/>
              </w:rPr>
              <w:t>2.6 Conclusion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_Toc221804517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115</w:t>
            </w:r>
            <w:r w:rsidR="00E1792A">
              <w:rPr>
                <w:rFonts w:asciiTheme="majorBidi" w:hAnsiTheme="majorBidi" w:cstheme="majorBidi"/>
                <w:noProof/>
                <w:webHidden/>
              </w:rPr>
              <w:fldChar w:fldCharType="end"/>
            </w:r>
          </w:hyperlink>
        </w:p>
        <w:p w14:paraId="4A67E6A6" w14:textId="081471AB" w:rsidR="008819FD" w:rsidRPr="008819FD" w:rsidRDefault="00E1792A" w:rsidP="00CD0E06">
          <w:pPr>
            <w:pStyle w:val="TOC1"/>
            <w:rPr>
              <w:rFonts w:asciiTheme="majorBidi" w:eastAsiaTheme="minorEastAsia" w:hAnsiTheme="majorBidi" w:cstheme="majorBidi"/>
              <w:b w:val="0"/>
              <w:noProof/>
              <w:kern w:val="2"/>
              <w:sz w:val="24"/>
              <w14:ligatures w14:val="standardContextual"/>
            </w:rPr>
          </w:pPr>
          <w:hyperlink w:anchor="_Toc221804518" w:history="1">
            <w:r w:rsidR="00CD0E06" w:rsidRPr="00CD0E06">
              <w:rPr>
                <w:rStyle w:val="Hyperlink"/>
                <w:rFonts w:asciiTheme="majorBidi" w:hAnsiTheme="majorBidi" w:cstheme="majorBidi"/>
                <w:noProof/>
                <w:sz w:val="24"/>
              </w:rPr>
              <w:t>Chapter 3 : Arbitration in the United Arab Emirates and Comparative International Practice</w:t>
            </w:r>
            <w:r>
              <w:rPr>
                <w:rFonts w:asciiTheme="majorBidi" w:hAnsiTheme="majorBidi" w:cstheme="majorBidi"/>
                <w:noProof/>
                <w:webHidden/>
                <w:sz w:val="24"/>
              </w:rPr>
              <w:tab/>
            </w:r>
            <w:r>
              <w:rPr>
                <w:rFonts w:asciiTheme="majorBidi" w:hAnsiTheme="majorBidi" w:cstheme="majorBidi"/>
                <w:noProof/>
                <w:webHidden/>
                <w:sz w:val="24"/>
              </w:rPr>
              <w:fldChar w:fldCharType="begin"/>
            </w:r>
            <w:r>
              <w:rPr>
                <w:rFonts w:asciiTheme="majorBidi" w:hAnsiTheme="majorBidi" w:cstheme="majorBidi"/>
                <w:noProof/>
                <w:webHidden/>
                <w:sz w:val="24"/>
              </w:rPr>
              <w:instrText xml:space="preserve"> PAGEREF _Toc221804518 \h </w:instrText>
            </w:r>
            <w:r>
              <w:rPr>
                <w:rFonts w:asciiTheme="majorBidi" w:hAnsiTheme="majorBidi" w:cstheme="majorBidi"/>
                <w:noProof/>
                <w:webHidden/>
                <w:sz w:val="24"/>
              </w:rPr>
            </w:r>
            <w:r>
              <w:rPr>
                <w:rFonts w:asciiTheme="majorBidi" w:hAnsiTheme="majorBidi" w:cstheme="majorBidi"/>
                <w:noProof/>
                <w:webHidden/>
                <w:sz w:val="24"/>
              </w:rPr>
              <w:fldChar w:fldCharType="separate"/>
            </w:r>
            <w:r w:rsidR="00B55114">
              <w:rPr>
                <w:rFonts w:asciiTheme="majorBidi" w:hAnsiTheme="majorBidi" w:cstheme="majorBidi"/>
                <w:noProof/>
                <w:webHidden/>
                <w:sz w:val="24"/>
              </w:rPr>
              <w:t>116</w:t>
            </w:r>
            <w:r>
              <w:rPr>
                <w:rFonts w:asciiTheme="majorBidi" w:hAnsiTheme="majorBidi" w:cstheme="majorBidi"/>
                <w:noProof/>
                <w:webHidden/>
                <w:sz w:val="24"/>
              </w:rPr>
              <w:fldChar w:fldCharType="end"/>
            </w:r>
          </w:hyperlink>
        </w:p>
        <w:p w14:paraId="0F0852A3" w14:textId="7AD2C9A8" w:rsidR="008819FD" w:rsidRPr="008819FD" w:rsidRDefault="004A062E">
          <w:pPr>
            <w:pStyle w:val="TOC2"/>
            <w:rPr>
              <w:rFonts w:asciiTheme="majorBidi" w:eastAsiaTheme="minorEastAsia" w:hAnsiTheme="majorBidi" w:cstheme="majorBidi"/>
              <w:noProof/>
              <w:kern w:val="2"/>
              <w14:ligatures w14:val="standardContextual"/>
            </w:rPr>
          </w:pPr>
          <w:hyperlink w:anchor="_Toc221804519" w:history="1">
            <w:r w:rsidR="00E1792A">
              <w:rPr>
                <w:rStyle w:val="Hyperlink"/>
                <w:rFonts w:asciiTheme="majorBidi" w:eastAsia="Calibri" w:hAnsiTheme="majorBidi" w:cstheme="majorBidi"/>
                <w:noProof/>
              </w:rPr>
              <w:t>3.1 Electronic Arbitration Before the Arbitration Dispute (Agreement - Formation)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_Toc221804519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118</w:t>
            </w:r>
            <w:r w:rsidR="00E1792A">
              <w:rPr>
                <w:rFonts w:asciiTheme="majorBidi" w:hAnsiTheme="majorBidi" w:cstheme="majorBidi"/>
                <w:noProof/>
                <w:webHidden/>
              </w:rPr>
              <w:fldChar w:fldCharType="end"/>
            </w:r>
          </w:hyperlink>
        </w:p>
        <w:p w14:paraId="4D56F302" w14:textId="63542510"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20" w:history="1">
            <w:r w:rsidR="00E1792A">
              <w:rPr>
                <w:rStyle w:val="Hyperlink"/>
                <w:rFonts w:asciiTheme="majorBidi" w:hAnsiTheme="majorBidi" w:cstheme="majorBidi"/>
                <w:noProof/>
                <w:sz w:val="24"/>
              </w:rPr>
              <w:t>3.1.1 Electronic Arbitration Agreement</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_Toc221804520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118</w:t>
            </w:r>
            <w:r w:rsidR="00E1792A">
              <w:rPr>
                <w:rFonts w:asciiTheme="majorBidi" w:hAnsiTheme="majorBidi" w:cstheme="majorBidi"/>
                <w:noProof/>
                <w:webHidden/>
                <w:sz w:val="24"/>
              </w:rPr>
              <w:fldChar w:fldCharType="end"/>
            </w:r>
          </w:hyperlink>
        </w:p>
        <w:p w14:paraId="1BB56B9F" w14:textId="638B7D30"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21" w:history="1">
            <w:r w:rsidR="00E1792A">
              <w:rPr>
                <w:rStyle w:val="Hyperlink"/>
                <w:rFonts w:asciiTheme="majorBidi" w:hAnsiTheme="majorBidi" w:cstheme="majorBidi"/>
                <w:noProof/>
                <w:sz w:val="24"/>
              </w:rPr>
              <w:t>3.1.2 Electronic Formation of the Arbitral Tribunal</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_Toc221804521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125</w:t>
            </w:r>
            <w:r w:rsidR="00E1792A">
              <w:rPr>
                <w:rFonts w:asciiTheme="majorBidi" w:hAnsiTheme="majorBidi" w:cstheme="majorBidi"/>
                <w:noProof/>
                <w:webHidden/>
                <w:sz w:val="24"/>
              </w:rPr>
              <w:fldChar w:fldCharType="end"/>
            </w:r>
          </w:hyperlink>
        </w:p>
        <w:p w14:paraId="19EE68B6" w14:textId="2FCB6125" w:rsidR="008819FD" w:rsidRPr="008819FD" w:rsidRDefault="004A062E">
          <w:pPr>
            <w:pStyle w:val="TOC2"/>
            <w:rPr>
              <w:rFonts w:asciiTheme="majorBidi" w:eastAsiaTheme="minorEastAsia" w:hAnsiTheme="majorBidi" w:cstheme="majorBidi"/>
              <w:noProof/>
              <w:kern w:val="2"/>
              <w14:ligatures w14:val="standardContextual"/>
            </w:rPr>
          </w:pPr>
          <w:hyperlink w:anchor="_Toc221804522" w:history="1">
            <w:r w:rsidR="00E1792A">
              <w:rPr>
                <w:rStyle w:val="Hyperlink"/>
                <w:rFonts w:asciiTheme="majorBidi" w:eastAsia="Calibri" w:hAnsiTheme="majorBidi" w:cstheme="majorBidi"/>
                <w:noProof/>
              </w:rPr>
              <w:t>3.2 Electronic arbitration dispute (its beginning - its course - its end)</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_Toc221804522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128</w:t>
            </w:r>
            <w:r w:rsidR="00E1792A">
              <w:rPr>
                <w:rFonts w:asciiTheme="majorBidi" w:hAnsiTheme="majorBidi" w:cstheme="majorBidi"/>
                <w:noProof/>
                <w:webHidden/>
              </w:rPr>
              <w:fldChar w:fldCharType="end"/>
            </w:r>
          </w:hyperlink>
        </w:p>
        <w:p w14:paraId="6A33DF90" w14:textId="7AF63128"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23" w:history="1">
            <w:r w:rsidR="00E1792A">
              <w:rPr>
                <w:rStyle w:val="Hyperlink"/>
                <w:rFonts w:asciiTheme="majorBidi" w:hAnsiTheme="majorBidi" w:cstheme="majorBidi"/>
                <w:noProof/>
                <w:sz w:val="24"/>
              </w:rPr>
              <w:t>3.2.1 Beginning (the request - notification thereof) Electronic arbitration procedures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_Toc221804523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128</w:t>
            </w:r>
            <w:r w:rsidR="00E1792A">
              <w:rPr>
                <w:rFonts w:asciiTheme="majorBidi" w:hAnsiTheme="majorBidi" w:cstheme="majorBidi"/>
                <w:noProof/>
                <w:webHidden/>
                <w:sz w:val="24"/>
              </w:rPr>
              <w:fldChar w:fldCharType="end"/>
            </w:r>
          </w:hyperlink>
        </w:p>
        <w:p w14:paraId="63148229" w14:textId="6550C71D"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24" w:history="1">
            <w:r w:rsidR="00E1792A">
              <w:rPr>
                <w:rStyle w:val="Hyperlink"/>
                <w:rFonts w:asciiTheme="majorBidi" w:hAnsiTheme="majorBidi" w:cstheme="majorBidi"/>
                <w:noProof/>
                <w:sz w:val="24"/>
              </w:rPr>
              <w:t>3.2.2 Electronic Arbitration Proceedings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_Toc221804524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133</w:t>
            </w:r>
            <w:r w:rsidR="00E1792A">
              <w:rPr>
                <w:rFonts w:asciiTheme="majorBidi" w:hAnsiTheme="majorBidi" w:cstheme="majorBidi"/>
                <w:noProof/>
                <w:webHidden/>
                <w:sz w:val="24"/>
              </w:rPr>
              <w:fldChar w:fldCharType="end"/>
            </w:r>
          </w:hyperlink>
        </w:p>
        <w:p w14:paraId="24D2397C" w14:textId="2B0519A5"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25" w:history="1">
            <w:r w:rsidR="00E1792A">
              <w:rPr>
                <w:rStyle w:val="Hyperlink"/>
                <w:rFonts w:asciiTheme="majorBidi" w:hAnsiTheme="majorBidi" w:cstheme="majorBidi"/>
                <w:noProof/>
                <w:sz w:val="24"/>
              </w:rPr>
              <w:t>3.2.3 Electronic Arbitration Award</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_Toc221804525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140</w:t>
            </w:r>
            <w:r w:rsidR="00E1792A">
              <w:rPr>
                <w:rFonts w:asciiTheme="majorBidi" w:hAnsiTheme="majorBidi" w:cstheme="majorBidi"/>
                <w:noProof/>
                <w:webHidden/>
                <w:sz w:val="24"/>
              </w:rPr>
              <w:fldChar w:fldCharType="end"/>
            </w:r>
          </w:hyperlink>
        </w:p>
        <w:p w14:paraId="2FF414AD" w14:textId="5BE95E39" w:rsidR="008819FD" w:rsidRPr="008819FD" w:rsidRDefault="00E1792A" w:rsidP="00CD0E06">
          <w:pPr>
            <w:pStyle w:val="TOC3"/>
            <w:rPr>
              <w:rFonts w:asciiTheme="majorBidi" w:eastAsiaTheme="minorEastAsia" w:hAnsiTheme="majorBidi" w:cstheme="majorBidi"/>
              <w:noProof/>
              <w:kern w:val="2"/>
              <w:sz w:val="24"/>
              <w14:ligatures w14:val="standardContextual"/>
            </w:rPr>
          </w:pPr>
          <w:hyperlink w:anchor="_Toc221804526" w:history="1">
            <w:r w:rsidR="00CD0E06" w:rsidRPr="00CD0E06">
              <w:rPr>
                <w:rStyle w:val="Hyperlink"/>
                <w:rFonts w:asciiTheme="majorBidi" w:hAnsiTheme="majorBidi" w:cstheme="majorBidi"/>
                <w:noProof/>
                <w:sz w:val="24"/>
                <w:lang w:bidi="ar-AE"/>
              </w:rPr>
              <w:t>3.2.4 Abu Dhabi Commercial Conciliation and Arbitration Centre (ADCCAC)</w:t>
            </w:r>
            <w:r>
              <w:rPr>
                <w:rFonts w:asciiTheme="majorBidi" w:hAnsiTheme="majorBidi" w:cstheme="majorBidi"/>
                <w:noProof/>
                <w:webHidden/>
                <w:sz w:val="24"/>
              </w:rPr>
              <w:tab/>
            </w:r>
            <w:r>
              <w:rPr>
                <w:rFonts w:asciiTheme="majorBidi" w:hAnsiTheme="majorBidi" w:cstheme="majorBidi"/>
                <w:noProof/>
                <w:webHidden/>
                <w:sz w:val="24"/>
              </w:rPr>
              <w:fldChar w:fldCharType="begin"/>
            </w:r>
            <w:r>
              <w:rPr>
                <w:rFonts w:asciiTheme="majorBidi" w:hAnsiTheme="majorBidi" w:cstheme="majorBidi"/>
                <w:noProof/>
                <w:webHidden/>
                <w:sz w:val="24"/>
              </w:rPr>
              <w:instrText xml:space="preserve"> PAGEREF _Toc221804526 \h </w:instrText>
            </w:r>
            <w:r>
              <w:rPr>
                <w:rFonts w:asciiTheme="majorBidi" w:hAnsiTheme="majorBidi" w:cstheme="majorBidi"/>
                <w:noProof/>
                <w:webHidden/>
                <w:sz w:val="24"/>
              </w:rPr>
            </w:r>
            <w:r>
              <w:rPr>
                <w:rFonts w:asciiTheme="majorBidi" w:hAnsiTheme="majorBidi" w:cstheme="majorBidi"/>
                <w:noProof/>
                <w:webHidden/>
                <w:sz w:val="24"/>
              </w:rPr>
              <w:fldChar w:fldCharType="separate"/>
            </w:r>
            <w:r w:rsidR="00B55114">
              <w:rPr>
                <w:rFonts w:asciiTheme="majorBidi" w:hAnsiTheme="majorBidi" w:cstheme="majorBidi"/>
                <w:noProof/>
                <w:webHidden/>
                <w:sz w:val="24"/>
              </w:rPr>
              <w:t>154</w:t>
            </w:r>
            <w:r>
              <w:rPr>
                <w:rFonts w:asciiTheme="majorBidi" w:hAnsiTheme="majorBidi" w:cstheme="majorBidi"/>
                <w:noProof/>
                <w:webHidden/>
                <w:sz w:val="24"/>
              </w:rPr>
              <w:fldChar w:fldCharType="end"/>
            </w:r>
          </w:hyperlink>
        </w:p>
        <w:p w14:paraId="41CA0764" w14:textId="591447F7"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27" w:history="1">
            <w:r w:rsidR="00E1792A">
              <w:rPr>
                <w:rStyle w:val="Hyperlink"/>
                <w:rFonts w:asciiTheme="majorBidi" w:hAnsiTheme="majorBidi" w:cstheme="majorBidi"/>
                <w:noProof/>
                <w:sz w:val="24"/>
                <w:lang w:bidi="ar-AE"/>
              </w:rPr>
              <w:t>3.2.5 Dubai International Arbitration Centre (DIAC)</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_Toc221804527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158</w:t>
            </w:r>
            <w:r w:rsidR="00E1792A">
              <w:rPr>
                <w:rFonts w:asciiTheme="majorBidi" w:hAnsiTheme="majorBidi" w:cstheme="majorBidi"/>
                <w:noProof/>
                <w:webHidden/>
                <w:sz w:val="24"/>
              </w:rPr>
              <w:fldChar w:fldCharType="end"/>
            </w:r>
          </w:hyperlink>
        </w:p>
        <w:p w14:paraId="7E8A594C" w14:textId="7DDF6D52"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28" w:history="1">
            <w:r w:rsidR="00E1792A">
              <w:rPr>
                <w:rStyle w:val="Hyperlink"/>
                <w:rFonts w:asciiTheme="majorBidi" w:hAnsiTheme="majorBidi" w:cstheme="majorBidi"/>
                <w:noProof/>
                <w:sz w:val="24"/>
                <w:lang w:bidi="ar-AE"/>
              </w:rPr>
              <w:t>3.2.6 The International Islamic Centre for Reconciliation and Arbitration (IICRA)</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_Toc221804528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162</w:t>
            </w:r>
            <w:r w:rsidR="00E1792A">
              <w:rPr>
                <w:rFonts w:asciiTheme="majorBidi" w:hAnsiTheme="majorBidi" w:cstheme="majorBidi"/>
                <w:noProof/>
                <w:webHidden/>
                <w:sz w:val="24"/>
              </w:rPr>
              <w:fldChar w:fldCharType="end"/>
            </w:r>
          </w:hyperlink>
        </w:p>
        <w:p w14:paraId="1C90ADE0" w14:textId="36B909CD"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29" w:history="1">
            <w:r w:rsidR="00E1792A">
              <w:rPr>
                <w:rStyle w:val="Hyperlink"/>
                <w:rFonts w:asciiTheme="majorBidi" w:eastAsia="Times New Roman" w:hAnsiTheme="majorBidi" w:cstheme="majorBidi"/>
                <w:noProof/>
                <w:sz w:val="24"/>
                <w:lang w:bidi="ar-AE"/>
              </w:rPr>
              <w:t xml:space="preserve">3.2.7 </w:t>
            </w:r>
            <w:r w:rsidR="00E1792A">
              <w:rPr>
                <w:rStyle w:val="Hyperlink"/>
                <w:rFonts w:asciiTheme="majorBidi" w:hAnsiTheme="majorBidi" w:cstheme="majorBidi"/>
                <w:noProof/>
                <w:sz w:val="24"/>
                <w:lang w:bidi="ar-AE"/>
              </w:rPr>
              <w:t>Sharjah International Commercial Arbitration Centre (TAHKEEM)</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_Toc221804529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166</w:t>
            </w:r>
            <w:r w:rsidR="00E1792A">
              <w:rPr>
                <w:rFonts w:asciiTheme="majorBidi" w:hAnsiTheme="majorBidi" w:cstheme="majorBidi"/>
                <w:noProof/>
                <w:webHidden/>
                <w:sz w:val="24"/>
              </w:rPr>
              <w:fldChar w:fldCharType="end"/>
            </w:r>
          </w:hyperlink>
        </w:p>
        <w:p w14:paraId="756B2830" w14:textId="40DDD827"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30" w:history="1">
            <w:r w:rsidR="00E1792A">
              <w:rPr>
                <w:rStyle w:val="Hyperlink"/>
                <w:rFonts w:asciiTheme="majorBidi" w:eastAsia="Times New Roman" w:hAnsiTheme="majorBidi" w:cstheme="majorBidi"/>
                <w:noProof/>
                <w:sz w:val="24"/>
                <w:lang w:bidi="ar-AE"/>
              </w:rPr>
              <w:t xml:space="preserve">3.2.8 </w:t>
            </w:r>
            <w:r w:rsidR="00E1792A">
              <w:rPr>
                <w:rStyle w:val="Hyperlink"/>
                <w:rFonts w:asciiTheme="majorBidi" w:hAnsiTheme="majorBidi" w:cstheme="majorBidi"/>
                <w:noProof/>
                <w:sz w:val="24"/>
                <w:lang w:bidi="ar-AE"/>
              </w:rPr>
              <w:t>Ajman Centre for Commercial Conciliation and Arbitration (Ajman Arbitration Centre )</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_Toc221804530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170</w:t>
            </w:r>
            <w:r w:rsidR="00E1792A">
              <w:rPr>
                <w:rFonts w:asciiTheme="majorBidi" w:hAnsiTheme="majorBidi" w:cstheme="majorBidi"/>
                <w:noProof/>
                <w:webHidden/>
                <w:sz w:val="24"/>
              </w:rPr>
              <w:fldChar w:fldCharType="end"/>
            </w:r>
          </w:hyperlink>
        </w:p>
        <w:p w14:paraId="3F14D9AE" w14:textId="57EA55DA" w:rsidR="00CD0E06" w:rsidRPr="008819FD" w:rsidRDefault="00CD0E06" w:rsidP="00CD0E06">
          <w:pPr>
            <w:pStyle w:val="TOC3"/>
            <w:rPr>
              <w:rFonts w:asciiTheme="majorBidi" w:eastAsiaTheme="minorEastAsia" w:hAnsiTheme="majorBidi" w:cstheme="majorBidi"/>
              <w:noProof/>
              <w:kern w:val="2"/>
              <w:sz w:val="24"/>
              <w14:ligatures w14:val="standardContextual"/>
            </w:rPr>
          </w:pPr>
          <w:hyperlink w:anchor="_Toc900000019" w:history="1">
            <w:r>
              <w:rPr>
                <w:rStyle w:val="Hyperlink"/>
                <w:rFonts w:asciiTheme="majorBidi" w:eastAsia="Times New Roman" w:hAnsiTheme="majorBidi" w:cstheme="majorBidi"/>
                <w:noProof/>
                <w:sz w:val="24"/>
                <w:lang w:bidi="ar-AE"/>
              </w:rPr>
              <w:t xml:space="preserve">3.2.9 </w:t>
            </w:r>
            <w:r>
              <w:rPr>
                <w:rStyle w:val="Hyperlink"/>
                <w:rFonts w:asciiTheme="majorBidi" w:hAnsiTheme="majorBidi" w:cstheme="majorBidi"/>
                <w:noProof/>
                <w:sz w:val="24"/>
                <w:lang w:bidi="ar-AE"/>
              </w:rPr>
              <w:t>Ras Al Khaimah Centre for Reconciliation and Commercial Arbitration (RAK Chamber )</w:t>
            </w:r>
            <w:r>
              <w:rPr>
                <w:rFonts w:asciiTheme="majorBidi" w:hAnsiTheme="majorBidi" w:cstheme="majorBidi"/>
                <w:noProof/>
                <w:webHidden/>
                <w:sz w:val="24"/>
              </w:rPr>
              <w:tab/>
            </w:r>
            <w:r>
              <w:rPr>
                <w:rFonts w:asciiTheme="majorBidi" w:hAnsiTheme="majorBidi" w:cstheme="majorBidi"/>
                <w:noProof/>
                <w:webHidden/>
                <w:sz w:val="24"/>
              </w:rPr>
              <w:fldChar w:fldCharType="begin"/>
            </w:r>
            <w:r>
              <w:rPr>
                <w:rFonts w:asciiTheme="majorBidi" w:hAnsiTheme="majorBidi" w:cstheme="majorBidi"/>
                <w:noProof/>
                <w:webHidden/>
                <w:sz w:val="24"/>
              </w:rPr>
              <w:instrText xml:space="preserve"> PAGEREF _Toc900000019 \h </w:instrText>
            </w:r>
            <w:r>
              <w:rPr>
                <w:rFonts w:asciiTheme="majorBidi" w:hAnsiTheme="majorBidi" w:cstheme="majorBidi"/>
                <w:noProof/>
                <w:webHidden/>
                <w:sz w:val="24"/>
              </w:rPr>
            </w:r>
            <w:r>
              <w:rPr>
                <w:rFonts w:asciiTheme="majorBidi" w:hAnsiTheme="majorBidi" w:cstheme="majorBidi"/>
                <w:noProof/>
                <w:webHidden/>
                <w:sz w:val="24"/>
              </w:rPr>
              <w:fldChar w:fldCharType="separate"/>
            </w:r>
            <w:r w:rsidR="00B55114">
              <w:rPr>
                <w:rFonts w:asciiTheme="majorBidi" w:hAnsiTheme="majorBidi" w:cstheme="majorBidi"/>
                <w:noProof/>
                <w:webHidden/>
                <w:sz w:val="24"/>
              </w:rPr>
              <w:t>175</w:t>
            </w:r>
            <w:r>
              <w:rPr>
                <w:rFonts w:asciiTheme="majorBidi" w:hAnsiTheme="majorBidi" w:cstheme="majorBidi"/>
                <w:noProof/>
                <w:webHidden/>
                <w:sz w:val="24"/>
              </w:rPr>
              <w:fldChar w:fldCharType="end"/>
            </w:r>
          </w:hyperlink>
        </w:p>
        <w:p w14:paraId="2AF1B406" w14:textId="344C8302" w:rsidR="008819FD" w:rsidRPr="008819FD" w:rsidRDefault="00CC217E">
          <w:pPr>
            <w:pStyle w:val="TOC3"/>
            <w:rPr>
              <w:rFonts w:asciiTheme="majorBidi" w:eastAsiaTheme="minorEastAsia" w:hAnsiTheme="majorBidi" w:cstheme="majorBidi"/>
              <w:noProof/>
              <w:kern w:val="2"/>
              <w:sz w:val="24"/>
              <w14:ligatures w14:val="standardContextual"/>
            </w:rPr>
          </w:pPr>
          <w:hyperlink w:anchor="_Toc900000019" w:history="1"/>
        </w:p>
        <w:p w14:paraId="159403F4" w14:textId="17406352" w:rsidR="008819FD" w:rsidRPr="008819FD" w:rsidRDefault="004A062E">
          <w:pPr>
            <w:pStyle w:val="TOC2"/>
            <w:rPr>
              <w:rFonts w:asciiTheme="majorBidi" w:eastAsiaTheme="minorEastAsia" w:hAnsiTheme="majorBidi" w:cstheme="majorBidi"/>
              <w:noProof/>
              <w:kern w:val="2"/>
              <w14:ligatures w14:val="standardContextual"/>
            </w:rPr>
          </w:pPr>
          <w:hyperlink w:anchor="_Toc221804531" w:history="1">
            <w:r w:rsidR="00E1792A">
              <w:rPr>
                <w:rStyle w:val="Hyperlink"/>
                <w:rFonts w:asciiTheme="majorBidi" w:eastAsia="Calibri" w:hAnsiTheme="majorBidi" w:cstheme="majorBidi"/>
                <w:noProof/>
              </w:rPr>
              <w:t>3.3 Key Global Practices in Online Arbitration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_Toc221804531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176</w:t>
            </w:r>
            <w:r w:rsidR="00E1792A">
              <w:rPr>
                <w:rFonts w:asciiTheme="majorBidi" w:hAnsiTheme="majorBidi" w:cstheme="majorBidi"/>
                <w:noProof/>
                <w:webHidden/>
              </w:rPr>
              <w:fldChar w:fldCharType="end"/>
            </w:r>
          </w:hyperlink>
        </w:p>
        <w:p w14:paraId="6A685CD6" w14:textId="6031508C"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32" w:history="1">
            <w:r w:rsidR="00E1792A">
              <w:rPr>
                <w:rStyle w:val="Hyperlink"/>
                <w:rFonts w:asciiTheme="majorBidi" w:eastAsia="Times New Roman" w:hAnsiTheme="majorBidi" w:cstheme="majorBidi"/>
                <w:noProof/>
                <w:sz w:val="24"/>
                <w:lang w:bidi="ar-AE"/>
              </w:rPr>
              <w:t xml:space="preserve">3.3.1 </w:t>
            </w:r>
            <w:r w:rsidR="00E1792A">
              <w:rPr>
                <w:rStyle w:val="Hyperlink"/>
                <w:rFonts w:asciiTheme="majorBidi" w:hAnsiTheme="majorBidi" w:cstheme="majorBidi"/>
                <w:noProof/>
                <w:sz w:val="24"/>
                <w:lang w:bidi="ar-AE"/>
              </w:rPr>
              <w:t>International Chamber of Commerce (ICC) – International Court of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_Toc221804532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179</w:t>
            </w:r>
            <w:r w:rsidR="00E1792A">
              <w:rPr>
                <w:rFonts w:asciiTheme="majorBidi" w:hAnsiTheme="majorBidi" w:cstheme="majorBidi"/>
                <w:noProof/>
                <w:webHidden/>
                <w:sz w:val="24"/>
              </w:rPr>
              <w:fldChar w:fldCharType="end"/>
            </w:r>
          </w:hyperlink>
        </w:p>
        <w:p w14:paraId="40BE7C99" w14:textId="71258835"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33" w:history="1">
            <w:r w:rsidR="00E1792A">
              <w:rPr>
                <w:rStyle w:val="Hyperlink"/>
                <w:rFonts w:asciiTheme="majorBidi" w:eastAsia="Times New Roman" w:hAnsiTheme="majorBidi" w:cstheme="majorBidi"/>
                <w:noProof/>
                <w:sz w:val="24"/>
                <w:lang w:bidi="ar-AE"/>
              </w:rPr>
              <w:t xml:space="preserve">3.3.2 </w:t>
            </w:r>
            <w:r w:rsidR="00E1792A">
              <w:rPr>
                <w:rStyle w:val="Hyperlink"/>
                <w:rFonts w:asciiTheme="majorBidi" w:hAnsiTheme="majorBidi" w:cstheme="majorBidi"/>
                <w:noProof/>
                <w:sz w:val="24"/>
                <w:lang w:bidi="ar-AE"/>
              </w:rPr>
              <w:t>London Court of International Arbitration (LCIA)</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_Toc221804533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180</w:t>
            </w:r>
            <w:r w:rsidR="00E1792A">
              <w:rPr>
                <w:rFonts w:asciiTheme="majorBidi" w:hAnsiTheme="majorBidi" w:cstheme="majorBidi"/>
                <w:noProof/>
                <w:webHidden/>
                <w:sz w:val="24"/>
              </w:rPr>
              <w:fldChar w:fldCharType="end"/>
            </w:r>
          </w:hyperlink>
        </w:p>
        <w:p w14:paraId="66BEC0E9" w14:textId="0ACCF2ED"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34" w:history="1">
            <w:r w:rsidR="00E1792A">
              <w:rPr>
                <w:rStyle w:val="Hyperlink"/>
                <w:rFonts w:asciiTheme="majorBidi" w:eastAsia="Times New Roman" w:hAnsiTheme="majorBidi" w:cstheme="majorBidi"/>
                <w:noProof/>
                <w:sz w:val="24"/>
                <w:lang w:bidi="ar-AE"/>
              </w:rPr>
              <w:t xml:space="preserve">3.3.3 </w:t>
            </w:r>
            <w:r w:rsidR="00E1792A">
              <w:rPr>
                <w:rStyle w:val="Hyperlink"/>
                <w:rFonts w:asciiTheme="majorBidi" w:hAnsiTheme="majorBidi" w:cstheme="majorBidi"/>
                <w:noProof/>
                <w:sz w:val="24"/>
                <w:lang w:bidi="ar-AE"/>
              </w:rPr>
              <w:t>Permanent Court of Arbitration (PCA)</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_Toc221804534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182</w:t>
            </w:r>
            <w:r w:rsidR="00E1792A">
              <w:rPr>
                <w:rFonts w:asciiTheme="majorBidi" w:hAnsiTheme="majorBidi" w:cstheme="majorBidi"/>
                <w:noProof/>
                <w:webHidden/>
                <w:sz w:val="24"/>
              </w:rPr>
              <w:fldChar w:fldCharType="end"/>
            </w:r>
          </w:hyperlink>
        </w:p>
        <w:p w14:paraId="3EFBA7DA" w14:textId="71334612" w:rsidR="008819FD" w:rsidRPr="008819FD" w:rsidRDefault="004A062E">
          <w:pPr>
            <w:pStyle w:val="TOC1"/>
            <w:rPr>
              <w:rFonts w:asciiTheme="majorBidi" w:eastAsiaTheme="minorEastAsia" w:hAnsiTheme="majorBidi" w:cstheme="majorBidi"/>
              <w:b w:val="0"/>
              <w:noProof/>
              <w:kern w:val="2"/>
              <w:sz w:val="24"/>
              <w14:ligatures w14:val="standardContextual"/>
            </w:rPr>
          </w:pPr>
          <w:hyperlink w:anchor="_Toc221804535" w:history="1">
            <w:r w:rsidR="00E1792A">
              <w:rPr>
                <w:rStyle w:val="Hyperlink"/>
                <w:rFonts w:asciiTheme="majorBidi" w:hAnsiTheme="majorBidi" w:cstheme="majorBidi"/>
                <w:noProof/>
                <w:sz w:val="24"/>
              </w:rPr>
              <w:t>Chapter 4 : Mechanisms for Protecting Privacy and Confidentiality in Online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_Toc221804535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192</w:t>
            </w:r>
            <w:r w:rsidR="00E1792A">
              <w:rPr>
                <w:rFonts w:asciiTheme="majorBidi" w:hAnsiTheme="majorBidi" w:cstheme="majorBidi"/>
                <w:noProof/>
                <w:webHidden/>
                <w:sz w:val="24"/>
              </w:rPr>
              <w:fldChar w:fldCharType="end"/>
            </w:r>
          </w:hyperlink>
        </w:p>
        <w:p w14:paraId="57631DAD" w14:textId="57140385" w:rsidR="008819FD" w:rsidRPr="008819FD" w:rsidRDefault="004A062E">
          <w:pPr>
            <w:pStyle w:val="TOC2"/>
            <w:rPr>
              <w:rFonts w:asciiTheme="majorBidi" w:eastAsiaTheme="minorEastAsia" w:hAnsiTheme="majorBidi" w:cstheme="majorBidi"/>
              <w:noProof/>
              <w:kern w:val="2"/>
              <w14:ligatures w14:val="standardContextual"/>
            </w:rPr>
          </w:pPr>
          <w:hyperlink w:anchor="_Toc221804536" w:history="1">
            <w:r w:rsidR="00E1792A">
              <w:rPr>
                <w:rStyle w:val="Hyperlink"/>
                <w:rFonts w:asciiTheme="majorBidi" w:hAnsiTheme="majorBidi" w:cstheme="majorBidi"/>
                <w:noProof/>
                <w:lang w:bidi="ar-AE"/>
              </w:rPr>
              <w:t>4.1 Introduction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_Toc221804536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192</w:t>
            </w:r>
            <w:r w:rsidR="00E1792A">
              <w:rPr>
                <w:rFonts w:asciiTheme="majorBidi" w:hAnsiTheme="majorBidi" w:cstheme="majorBidi"/>
                <w:noProof/>
                <w:webHidden/>
              </w:rPr>
              <w:fldChar w:fldCharType="end"/>
            </w:r>
          </w:hyperlink>
        </w:p>
        <w:p w14:paraId="10765AA1" w14:textId="22E4E637" w:rsidR="008819FD" w:rsidRPr="008819FD" w:rsidRDefault="004A062E">
          <w:pPr>
            <w:pStyle w:val="TOC2"/>
            <w:rPr>
              <w:rFonts w:asciiTheme="majorBidi" w:eastAsiaTheme="minorEastAsia" w:hAnsiTheme="majorBidi" w:cstheme="majorBidi"/>
              <w:noProof/>
              <w:kern w:val="2"/>
              <w14:ligatures w14:val="standardContextual"/>
            </w:rPr>
          </w:pPr>
          <w:hyperlink w:anchor="_Toc221804537" w:history="1">
            <w:r w:rsidR="00E1792A">
              <w:rPr>
                <w:rStyle w:val="Hyperlink"/>
                <w:rFonts w:asciiTheme="majorBidi" w:hAnsiTheme="majorBidi" w:cstheme="majorBidi"/>
                <w:noProof/>
                <w:lang w:bidi="ar-AE"/>
              </w:rPr>
              <w:t>4.2 Technological Mechanisms for Safeguarding Data</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_Toc221804537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194</w:t>
            </w:r>
            <w:r w:rsidR="00E1792A">
              <w:rPr>
                <w:rFonts w:asciiTheme="majorBidi" w:hAnsiTheme="majorBidi" w:cstheme="majorBidi"/>
                <w:noProof/>
                <w:webHidden/>
              </w:rPr>
              <w:fldChar w:fldCharType="end"/>
            </w:r>
          </w:hyperlink>
        </w:p>
        <w:p w14:paraId="277F91BB" w14:textId="42609BDB"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38" w:history="1">
            <w:r w:rsidR="00E1792A">
              <w:rPr>
                <w:rStyle w:val="Hyperlink"/>
                <w:rFonts w:asciiTheme="majorBidi" w:eastAsia="Times New Roman" w:hAnsiTheme="majorBidi" w:cstheme="majorBidi"/>
                <w:noProof/>
                <w:sz w:val="24"/>
                <w:lang w:bidi="ar-AE"/>
              </w:rPr>
              <w:t xml:space="preserve">4.2.1 </w:t>
            </w:r>
            <w:r w:rsidR="00E1792A">
              <w:rPr>
                <w:rStyle w:val="Hyperlink"/>
                <w:rFonts w:asciiTheme="majorBidi" w:hAnsiTheme="majorBidi" w:cstheme="majorBidi"/>
                <w:noProof/>
                <w:sz w:val="24"/>
                <w:lang w:bidi="ar-AE"/>
              </w:rPr>
              <w:t>Encryption and Secure Communication Tools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_Toc221804538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194</w:t>
            </w:r>
            <w:r w:rsidR="00E1792A">
              <w:rPr>
                <w:rFonts w:asciiTheme="majorBidi" w:hAnsiTheme="majorBidi" w:cstheme="majorBidi"/>
                <w:noProof/>
                <w:webHidden/>
                <w:sz w:val="24"/>
              </w:rPr>
              <w:fldChar w:fldCharType="end"/>
            </w:r>
          </w:hyperlink>
        </w:p>
        <w:p w14:paraId="64067219" w14:textId="0C6B8AE8"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39" w:history="1">
            <w:r w:rsidR="00E1792A">
              <w:rPr>
                <w:rStyle w:val="Hyperlink"/>
                <w:rFonts w:asciiTheme="majorBidi" w:eastAsia="Times New Roman" w:hAnsiTheme="majorBidi" w:cstheme="majorBidi"/>
                <w:noProof/>
                <w:sz w:val="24"/>
                <w:lang w:bidi="ar-AE"/>
              </w:rPr>
              <w:t xml:space="preserve">4.2.2 </w:t>
            </w:r>
            <w:r w:rsidR="00E1792A">
              <w:rPr>
                <w:rStyle w:val="Hyperlink"/>
                <w:rFonts w:asciiTheme="majorBidi" w:hAnsiTheme="majorBidi" w:cstheme="majorBidi"/>
                <w:noProof/>
                <w:sz w:val="24"/>
                <w:lang w:bidi="ar-AE"/>
              </w:rPr>
              <w:t>Authentication and Identity Verification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_Toc221804539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196</w:t>
            </w:r>
            <w:bookmarkStart w:id="1" w:name="_GoBack"/>
            <w:bookmarkEnd w:id="1"/>
            <w:r w:rsidR="00E1792A">
              <w:rPr>
                <w:rFonts w:asciiTheme="majorBidi" w:hAnsiTheme="majorBidi" w:cstheme="majorBidi"/>
                <w:noProof/>
                <w:webHidden/>
                <w:sz w:val="24"/>
              </w:rPr>
              <w:fldChar w:fldCharType="end"/>
            </w:r>
          </w:hyperlink>
        </w:p>
        <w:p w14:paraId="665407A4" w14:textId="14BCAD8B"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40" w:history="1">
            <w:r w:rsidR="00E1792A">
              <w:rPr>
                <w:rStyle w:val="Hyperlink"/>
                <w:rFonts w:asciiTheme="majorBidi" w:eastAsia="Times New Roman" w:hAnsiTheme="majorBidi" w:cstheme="majorBidi"/>
                <w:noProof/>
                <w:sz w:val="24"/>
                <w:lang w:bidi="ar-AE"/>
              </w:rPr>
              <w:t xml:space="preserve">4.2.3 </w:t>
            </w:r>
            <w:r w:rsidR="00E1792A">
              <w:rPr>
                <w:rStyle w:val="Hyperlink"/>
                <w:rFonts w:asciiTheme="majorBidi" w:hAnsiTheme="majorBidi" w:cstheme="majorBidi"/>
                <w:noProof/>
                <w:sz w:val="24"/>
                <w:lang w:bidi="ar-AE"/>
              </w:rPr>
              <w:t>Blockchain and Evidence Management</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_Toc221804540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199</w:t>
            </w:r>
            <w:r w:rsidR="00E1792A">
              <w:rPr>
                <w:rFonts w:asciiTheme="majorBidi" w:hAnsiTheme="majorBidi" w:cstheme="majorBidi"/>
                <w:noProof/>
                <w:webHidden/>
                <w:sz w:val="24"/>
              </w:rPr>
              <w:fldChar w:fldCharType="end"/>
            </w:r>
          </w:hyperlink>
        </w:p>
        <w:p w14:paraId="40B60142" w14:textId="255A5702" w:rsidR="008819FD" w:rsidRPr="008819FD" w:rsidRDefault="004A062E">
          <w:pPr>
            <w:pStyle w:val="TOC2"/>
            <w:rPr>
              <w:rFonts w:asciiTheme="majorBidi" w:eastAsiaTheme="minorEastAsia" w:hAnsiTheme="majorBidi" w:cstheme="majorBidi"/>
              <w:noProof/>
              <w:kern w:val="2"/>
              <w14:ligatures w14:val="standardContextual"/>
            </w:rPr>
          </w:pPr>
          <w:hyperlink w:anchor="_Toc221804541" w:history="1">
            <w:r w:rsidR="00E1792A">
              <w:rPr>
                <w:rStyle w:val="Hyperlink"/>
                <w:rFonts w:asciiTheme="majorBidi" w:hAnsiTheme="majorBidi" w:cstheme="majorBidi"/>
                <w:noProof/>
                <w:lang w:bidi="ar-AE"/>
              </w:rPr>
              <w:t>4.3 Ethical Considerations in Online Arbitration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_Toc221804541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210</w:t>
            </w:r>
            <w:r w:rsidR="00E1792A">
              <w:rPr>
                <w:rFonts w:asciiTheme="majorBidi" w:hAnsiTheme="majorBidi" w:cstheme="majorBidi"/>
                <w:noProof/>
                <w:webHidden/>
              </w:rPr>
              <w:fldChar w:fldCharType="end"/>
            </w:r>
          </w:hyperlink>
        </w:p>
        <w:p w14:paraId="215B2349" w14:textId="15C8B355"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42" w:history="1">
            <w:r w:rsidR="00E1792A">
              <w:rPr>
                <w:rStyle w:val="Hyperlink"/>
                <w:rFonts w:asciiTheme="majorBidi" w:eastAsia="Times New Roman" w:hAnsiTheme="majorBidi" w:cstheme="majorBidi"/>
                <w:noProof/>
                <w:sz w:val="24"/>
                <w:lang w:bidi="ar-AE"/>
              </w:rPr>
              <w:t xml:space="preserve">4.3.1 </w:t>
            </w:r>
            <w:r w:rsidR="00E1792A">
              <w:rPr>
                <w:rStyle w:val="Hyperlink"/>
                <w:rFonts w:asciiTheme="majorBidi" w:hAnsiTheme="majorBidi" w:cstheme="majorBidi"/>
                <w:noProof/>
                <w:sz w:val="24"/>
                <w:lang w:bidi="ar-AE"/>
              </w:rPr>
              <w:t>Duty of Confidentiality of Arbitrators and Counsel</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_Toc221804542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210</w:t>
            </w:r>
            <w:r w:rsidR="00E1792A">
              <w:rPr>
                <w:rFonts w:asciiTheme="majorBidi" w:hAnsiTheme="majorBidi" w:cstheme="majorBidi"/>
                <w:noProof/>
                <w:webHidden/>
                <w:sz w:val="24"/>
              </w:rPr>
              <w:fldChar w:fldCharType="end"/>
            </w:r>
          </w:hyperlink>
        </w:p>
        <w:p w14:paraId="406566FC" w14:textId="4F9481EB"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43" w:history="1">
            <w:r w:rsidR="00E1792A">
              <w:rPr>
                <w:rStyle w:val="Hyperlink"/>
                <w:rFonts w:asciiTheme="majorBidi" w:eastAsia="Times New Roman" w:hAnsiTheme="majorBidi" w:cstheme="majorBidi"/>
                <w:noProof/>
                <w:sz w:val="24"/>
                <w:lang w:bidi="ar-AE"/>
              </w:rPr>
              <w:t xml:space="preserve">4.3.2 </w:t>
            </w:r>
            <w:r w:rsidR="00E1792A">
              <w:rPr>
                <w:rStyle w:val="Hyperlink"/>
                <w:rFonts w:asciiTheme="majorBidi" w:hAnsiTheme="majorBidi" w:cstheme="majorBidi"/>
                <w:noProof/>
                <w:sz w:val="24"/>
                <w:lang w:bidi="ar-AE"/>
              </w:rPr>
              <w:t>Fairness, Transparency, and Due Process in Virtual Hearings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_Toc221804543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214</w:t>
            </w:r>
            <w:r w:rsidR="00E1792A">
              <w:rPr>
                <w:rFonts w:asciiTheme="majorBidi" w:hAnsiTheme="majorBidi" w:cstheme="majorBidi"/>
                <w:noProof/>
                <w:webHidden/>
                <w:sz w:val="24"/>
              </w:rPr>
              <w:fldChar w:fldCharType="end"/>
            </w:r>
          </w:hyperlink>
        </w:p>
        <w:p w14:paraId="0D2CA59F" w14:textId="0F48FD80"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44" w:history="1">
            <w:r w:rsidR="00E1792A">
              <w:rPr>
                <w:rStyle w:val="Hyperlink"/>
                <w:rFonts w:asciiTheme="majorBidi" w:eastAsia="Times New Roman" w:hAnsiTheme="majorBidi" w:cstheme="majorBidi"/>
                <w:noProof/>
                <w:sz w:val="24"/>
                <w:lang w:bidi="ar-AE"/>
              </w:rPr>
              <w:t xml:space="preserve">4.3.3 </w:t>
            </w:r>
            <w:r w:rsidR="00E1792A">
              <w:rPr>
                <w:rStyle w:val="Hyperlink"/>
                <w:rFonts w:asciiTheme="majorBidi" w:hAnsiTheme="majorBidi" w:cstheme="majorBidi"/>
                <w:noProof/>
                <w:sz w:val="24"/>
                <w:lang w:bidi="ar-AE"/>
              </w:rPr>
              <w:t>Ethical Use of Technology and Artificial Intelligence</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_Toc221804544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217</w:t>
            </w:r>
            <w:r w:rsidR="00E1792A">
              <w:rPr>
                <w:rFonts w:asciiTheme="majorBidi" w:hAnsiTheme="majorBidi" w:cstheme="majorBidi"/>
                <w:noProof/>
                <w:webHidden/>
                <w:sz w:val="24"/>
              </w:rPr>
              <w:fldChar w:fldCharType="end"/>
            </w:r>
          </w:hyperlink>
        </w:p>
        <w:p w14:paraId="04DA7099" w14:textId="7E31C4E7"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45" w:history="1">
            <w:r w:rsidR="00E1792A">
              <w:rPr>
                <w:rStyle w:val="Hyperlink"/>
                <w:rFonts w:asciiTheme="majorBidi" w:eastAsia="Times New Roman" w:hAnsiTheme="majorBidi" w:cstheme="majorBidi"/>
                <w:noProof/>
                <w:sz w:val="24"/>
                <w:lang w:bidi="ar-AE"/>
              </w:rPr>
              <w:t xml:space="preserve">4.3.4 </w:t>
            </w:r>
            <w:r w:rsidR="00E1792A">
              <w:rPr>
                <w:rStyle w:val="Hyperlink"/>
                <w:rFonts w:asciiTheme="majorBidi" w:hAnsiTheme="majorBidi" w:cstheme="majorBidi"/>
                <w:noProof/>
                <w:sz w:val="24"/>
                <w:lang w:bidi="ar-AE"/>
              </w:rPr>
              <w:t>Conflicts of Interest in Digital Proceedings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_Toc221804545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220</w:t>
            </w:r>
            <w:r w:rsidR="00E1792A">
              <w:rPr>
                <w:rFonts w:asciiTheme="majorBidi" w:hAnsiTheme="majorBidi" w:cstheme="majorBidi"/>
                <w:noProof/>
                <w:webHidden/>
                <w:sz w:val="24"/>
              </w:rPr>
              <w:fldChar w:fldCharType="end"/>
            </w:r>
          </w:hyperlink>
        </w:p>
        <w:p w14:paraId="4B1E5B06" w14:textId="565BD4F7"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46" w:history="1">
            <w:r w:rsidR="00E1792A">
              <w:rPr>
                <w:rStyle w:val="Hyperlink"/>
                <w:rFonts w:asciiTheme="majorBidi" w:eastAsia="Times New Roman" w:hAnsiTheme="majorBidi" w:cstheme="majorBidi"/>
                <w:noProof/>
                <w:sz w:val="24"/>
                <w:lang w:bidi="ar-AE"/>
              </w:rPr>
              <w:t xml:space="preserve">4.3.5 </w:t>
            </w:r>
            <w:r w:rsidR="00E1792A">
              <w:rPr>
                <w:rStyle w:val="Hyperlink"/>
                <w:rFonts w:asciiTheme="majorBidi" w:hAnsiTheme="majorBidi" w:cstheme="majorBidi"/>
                <w:noProof/>
                <w:sz w:val="24"/>
                <w:lang w:bidi="ar-AE"/>
              </w:rPr>
              <w:t>Professional Responsibility and Cybersecurity Competence</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_Toc221804546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222</w:t>
            </w:r>
            <w:r w:rsidR="00E1792A">
              <w:rPr>
                <w:rFonts w:asciiTheme="majorBidi" w:hAnsiTheme="majorBidi" w:cstheme="majorBidi"/>
                <w:noProof/>
                <w:webHidden/>
                <w:sz w:val="24"/>
              </w:rPr>
              <w:fldChar w:fldCharType="end"/>
            </w:r>
          </w:hyperlink>
        </w:p>
        <w:p w14:paraId="6696CCEB" w14:textId="1C05FC19" w:rsidR="008819FD" w:rsidRPr="008819FD" w:rsidRDefault="004A062E">
          <w:pPr>
            <w:pStyle w:val="TOC2"/>
            <w:rPr>
              <w:rFonts w:asciiTheme="majorBidi" w:eastAsiaTheme="minorEastAsia" w:hAnsiTheme="majorBidi" w:cstheme="majorBidi"/>
              <w:noProof/>
              <w:kern w:val="2"/>
              <w14:ligatures w14:val="standardContextual"/>
            </w:rPr>
          </w:pPr>
          <w:hyperlink w:anchor="_Toc221804547" w:history="1">
            <w:r w:rsidR="00E1792A">
              <w:rPr>
                <w:rStyle w:val="Hyperlink"/>
                <w:rFonts w:asciiTheme="majorBidi" w:hAnsiTheme="majorBidi" w:cstheme="majorBidi"/>
                <w:noProof/>
                <w:lang w:bidi="ar-AE"/>
              </w:rPr>
              <w:t>4.4 Data Protection Frameworks in International Arbitration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_Toc221804547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225</w:t>
            </w:r>
            <w:r w:rsidR="00E1792A">
              <w:rPr>
                <w:rFonts w:asciiTheme="majorBidi" w:hAnsiTheme="majorBidi" w:cstheme="majorBidi"/>
                <w:noProof/>
                <w:webHidden/>
              </w:rPr>
              <w:fldChar w:fldCharType="end"/>
            </w:r>
          </w:hyperlink>
        </w:p>
        <w:p w14:paraId="4240481C" w14:textId="2CA501EE"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48" w:history="1">
            <w:r w:rsidR="00E1792A">
              <w:rPr>
                <w:rStyle w:val="Hyperlink"/>
                <w:rFonts w:asciiTheme="majorBidi" w:eastAsia="Times New Roman" w:hAnsiTheme="majorBidi" w:cstheme="majorBidi"/>
                <w:noProof/>
                <w:sz w:val="24"/>
                <w:lang w:bidi="ar-AE"/>
              </w:rPr>
              <w:t xml:space="preserve">4.4.1 </w:t>
            </w:r>
            <w:r w:rsidR="00E1792A">
              <w:rPr>
                <w:rStyle w:val="Hyperlink"/>
                <w:rFonts w:asciiTheme="majorBidi" w:hAnsiTheme="majorBidi" w:cstheme="majorBidi"/>
                <w:noProof/>
                <w:sz w:val="24"/>
                <w:lang w:bidi="ar-AE"/>
              </w:rPr>
              <w:t>The European Union General Data Protection Regulation (GDPR)</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_Toc221804548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225</w:t>
            </w:r>
            <w:r w:rsidR="00E1792A">
              <w:rPr>
                <w:rFonts w:asciiTheme="majorBidi" w:hAnsiTheme="majorBidi" w:cstheme="majorBidi"/>
                <w:noProof/>
                <w:webHidden/>
                <w:sz w:val="24"/>
              </w:rPr>
              <w:fldChar w:fldCharType="end"/>
            </w:r>
          </w:hyperlink>
        </w:p>
        <w:p w14:paraId="371B33DD" w14:textId="5147DFCD"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49" w:history="1">
            <w:r w:rsidR="00E1792A">
              <w:rPr>
                <w:rStyle w:val="Hyperlink"/>
                <w:rFonts w:asciiTheme="majorBidi" w:eastAsia="Times New Roman" w:hAnsiTheme="majorBidi" w:cstheme="majorBidi"/>
                <w:noProof/>
                <w:sz w:val="24"/>
                <w:lang w:bidi="ar-AE"/>
              </w:rPr>
              <w:t xml:space="preserve">4.4.2 </w:t>
            </w:r>
            <w:r w:rsidR="00E1792A">
              <w:rPr>
                <w:rStyle w:val="Hyperlink"/>
                <w:rFonts w:asciiTheme="majorBidi" w:hAnsiTheme="majorBidi" w:cstheme="majorBidi"/>
                <w:noProof/>
                <w:sz w:val="24"/>
                <w:lang w:bidi="ar-AE"/>
              </w:rPr>
              <w:t>The ICCA–IBA Roadmap on Data Protection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_Toc221804549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228</w:t>
            </w:r>
            <w:r w:rsidR="00E1792A">
              <w:rPr>
                <w:rFonts w:asciiTheme="majorBidi" w:hAnsiTheme="majorBidi" w:cstheme="majorBidi"/>
                <w:noProof/>
                <w:webHidden/>
                <w:sz w:val="24"/>
              </w:rPr>
              <w:fldChar w:fldCharType="end"/>
            </w:r>
          </w:hyperlink>
        </w:p>
        <w:p w14:paraId="29A16906" w14:textId="4D619B3B"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50" w:history="1">
            <w:r w:rsidR="00E1792A">
              <w:rPr>
                <w:rStyle w:val="Hyperlink"/>
                <w:rFonts w:asciiTheme="majorBidi" w:eastAsia="Times New Roman" w:hAnsiTheme="majorBidi" w:cstheme="majorBidi"/>
                <w:noProof/>
                <w:sz w:val="24"/>
                <w:lang w:bidi="ar-AE"/>
              </w:rPr>
              <w:t xml:space="preserve">4.4.3 </w:t>
            </w:r>
            <w:r w:rsidR="00E1792A">
              <w:rPr>
                <w:rStyle w:val="Hyperlink"/>
                <w:rFonts w:asciiTheme="majorBidi" w:hAnsiTheme="majorBidi" w:cstheme="majorBidi"/>
                <w:noProof/>
                <w:sz w:val="24"/>
                <w:lang w:bidi="ar-AE"/>
              </w:rPr>
              <w:t>Data Protection Guidelines of Arbitral Institutions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_Toc221804550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231</w:t>
            </w:r>
            <w:r w:rsidR="00E1792A">
              <w:rPr>
                <w:rFonts w:asciiTheme="majorBidi" w:hAnsiTheme="majorBidi" w:cstheme="majorBidi"/>
                <w:noProof/>
                <w:webHidden/>
                <w:sz w:val="24"/>
              </w:rPr>
              <w:fldChar w:fldCharType="end"/>
            </w:r>
          </w:hyperlink>
        </w:p>
        <w:p w14:paraId="3046C673" w14:textId="348D0585"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51" w:history="1">
            <w:r w:rsidR="00E1792A">
              <w:rPr>
                <w:rStyle w:val="Hyperlink"/>
                <w:rFonts w:asciiTheme="majorBidi" w:eastAsia="Times New Roman" w:hAnsiTheme="majorBidi" w:cstheme="majorBidi"/>
                <w:noProof/>
                <w:sz w:val="24"/>
                <w:lang w:bidi="ar-AE"/>
              </w:rPr>
              <w:t xml:space="preserve">4.4.4 </w:t>
            </w:r>
            <w:r w:rsidR="00E1792A">
              <w:rPr>
                <w:rStyle w:val="Hyperlink"/>
                <w:rFonts w:asciiTheme="majorBidi" w:hAnsiTheme="majorBidi" w:cstheme="majorBidi"/>
                <w:noProof/>
                <w:sz w:val="24"/>
                <w:lang w:bidi="ar-AE"/>
              </w:rPr>
              <w:t>Comparative Analysis of International Approaches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_Toc221804551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234</w:t>
            </w:r>
            <w:r w:rsidR="00E1792A">
              <w:rPr>
                <w:rFonts w:asciiTheme="majorBidi" w:hAnsiTheme="majorBidi" w:cstheme="majorBidi"/>
                <w:noProof/>
                <w:webHidden/>
                <w:sz w:val="24"/>
              </w:rPr>
              <w:fldChar w:fldCharType="end"/>
            </w:r>
          </w:hyperlink>
        </w:p>
        <w:p w14:paraId="2637F741" w14:textId="2119860D"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52" w:history="1">
            <w:r w:rsidR="00E1792A">
              <w:rPr>
                <w:rStyle w:val="Hyperlink"/>
                <w:rFonts w:asciiTheme="majorBidi" w:eastAsia="Times New Roman" w:hAnsiTheme="majorBidi" w:cstheme="majorBidi"/>
                <w:noProof/>
                <w:sz w:val="24"/>
                <w:lang w:bidi="ar-AE"/>
              </w:rPr>
              <w:t xml:space="preserve">4.4.5 </w:t>
            </w:r>
            <w:r w:rsidR="00E1792A">
              <w:rPr>
                <w:rStyle w:val="Hyperlink"/>
                <w:rFonts w:asciiTheme="majorBidi" w:hAnsiTheme="majorBidi" w:cstheme="majorBidi"/>
                <w:noProof/>
                <w:sz w:val="24"/>
                <w:lang w:bidi="ar-AE"/>
              </w:rPr>
              <w:t>Limitations of Current International Frameworks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_Toc221804552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238</w:t>
            </w:r>
            <w:r w:rsidR="00E1792A">
              <w:rPr>
                <w:rFonts w:asciiTheme="majorBidi" w:hAnsiTheme="majorBidi" w:cstheme="majorBidi"/>
                <w:noProof/>
                <w:webHidden/>
                <w:sz w:val="24"/>
              </w:rPr>
              <w:fldChar w:fldCharType="end"/>
            </w:r>
          </w:hyperlink>
        </w:p>
        <w:p w14:paraId="4C154B69" w14:textId="6B38662E" w:rsidR="008819FD" w:rsidRPr="008819FD" w:rsidRDefault="004A062E">
          <w:pPr>
            <w:pStyle w:val="TOC2"/>
            <w:rPr>
              <w:rFonts w:asciiTheme="majorBidi" w:eastAsiaTheme="minorEastAsia" w:hAnsiTheme="majorBidi" w:cstheme="majorBidi"/>
              <w:noProof/>
              <w:kern w:val="2"/>
              <w14:ligatures w14:val="standardContextual"/>
            </w:rPr>
          </w:pPr>
          <w:hyperlink w:anchor="_Toc221804553" w:history="1">
            <w:r w:rsidR="00E1792A">
              <w:rPr>
                <w:rStyle w:val="Hyperlink"/>
                <w:rFonts w:asciiTheme="majorBidi" w:hAnsiTheme="majorBidi" w:cstheme="majorBidi"/>
                <w:noProof/>
                <w:lang w:bidi="ar-AE"/>
              </w:rPr>
              <w:t>4.5 UAE Legal and Institutional Framework</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_Toc221804553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240</w:t>
            </w:r>
            <w:r w:rsidR="00E1792A">
              <w:rPr>
                <w:rFonts w:asciiTheme="majorBidi" w:hAnsiTheme="majorBidi" w:cstheme="majorBidi"/>
                <w:noProof/>
                <w:webHidden/>
              </w:rPr>
              <w:fldChar w:fldCharType="end"/>
            </w:r>
          </w:hyperlink>
        </w:p>
        <w:p w14:paraId="67FAC9F8" w14:textId="6DB4DB29"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54" w:history="1">
            <w:r w:rsidR="00E1792A">
              <w:rPr>
                <w:rStyle w:val="Hyperlink"/>
                <w:rFonts w:asciiTheme="majorBidi" w:eastAsia="Times New Roman" w:hAnsiTheme="majorBidi" w:cstheme="majorBidi"/>
                <w:noProof/>
                <w:sz w:val="24"/>
                <w:lang w:bidi="ar-AE"/>
              </w:rPr>
              <w:t xml:space="preserve">4.5.1 </w:t>
            </w:r>
            <w:r w:rsidR="00E1792A">
              <w:rPr>
                <w:rStyle w:val="Hyperlink"/>
                <w:rFonts w:asciiTheme="majorBidi" w:hAnsiTheme="majorBidi" w:cstheme="majorBidi"/>
                <w:noProof/>
                <w:sz w:val="24"/>
                <w:lang w:bidi="ar-AE"/>
              </w:rPr>
              <w:t>Federal Decree-Law No. 45 of 2021 on the Protection of Personal Data</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_Toc221804554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240</w:t>
            </w:r>
            <w:r w:rsidR="00E1792A">
              <w:rPr>
                <w:rFonts w:asciiTheme="majorBidi" w:hAnsiTheme="majorBidi" w:cstheme="majorBidi"/>
                <w:noProof/>
                <w:webHidden/>
                <w:sz w:val="24"/>
              </w:rPr>
              <w:fldChar w:fldCharType="end"/>
            </w:r>
          </w:hyperlink>
        </w:p>
        <w:p w14:paraId="1B230C3B" w14:textId="4E4895D3"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55" w:history="1">
            <w:r w:rsidR="00E1792A">
              <w:rPr>
                <w:rStyle w:val="Hyperlink"/>
                <w:rFonts w:asciiTheme="majorBidi" w:eastAsia="Times New Roman" w:hAnsiTheme="majorBidi" w:cstheme="majorBidi"/>
                <w:noProof/>
                <w:sz w:val="24"/>
                <w:lang w:bidi="ar-AE"/>
              </w:rPr>
              <w:t xml:space="preserve">4.5.2 </w:t>
            </w:r>
            <w:r w:rsidR="00E1792A">
              <w:rPr>
                <w:rStyle w:val="Hyperlink"/>
                <w:rFonts w:asciiTheme="majorBidi" w:hAnsiTheme="majorBidi" w:cstheme="majorBidi"/>
                <w:noProof/>
                <w:sz w:val="24"/>
                <w:lang w:bidi="ar-AE"/>
              </w:rPr>
              <w:t>Federal Law No. 6 of 2018 on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_Toc221804555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244</w:t>
            </w:r>
            <w:r w:rsidR="00E1792A">
              <w:rPr>
                <w:rFonts w:asciiTheme="majorBidi" w:hAnsiTheme="majorBidi" w:cstheme="majorBidi"/>
                <w:noProof/>
                <w:webHidden/>
                <w:sz w:val="24"/>
              </w:rPr>
              <w:fldChar w:fldCharType="end"/>
            </w:r>
          </w:hyperlink>
        </w:p>
        <w:p w14:paraId="2A9904CF" w14:textId="51A8A913" w:rsidR="008819FD" w:rsidRPr="008819FD" w:rsidRDefault="004A062E">
          <w:pPr>
            <w:pStyle w:val="TOC2"/>
            <w:rPr>
              <w:rFonts w:asciiTheme="majorBidi" w:eastAsiaTheme="minorEastAsia" w:hAnsiTheme="majorBidi" w:cstheme="majorBidi"/>
              <w:noProof/>
              <w:kern w:val="2"/>
              <w14:ligatures w14:val="standardContextual"/>
            </w:rPr>
          </w:pPr>
          <w:hyperlink w:anchor="_Toc221804556" w:history="1">
            <w:r w:rsidR="00E1792A">
              <w:rPr>
                <w:rStyle w:val="Hyperlink"/>
                <w:rFonts w:asciiTheme="majorBidi" w:hAnsiTheme="majorBidi" w:cstheme="majorBidi"/>
                <w:noProof/>
                <w:lang w:bidi="ar-AE"/>
              </w:rPr>
              <w:t>4.6 Conclusion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_Toc221804556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248</w:t>
            </w:r>
            <w:r w:rsidR="00E1792A">
              <w:rPr>
                <w:rFonts w:asciiTheme="majorBidi" w:hAnsiTheme="majorBidi" w:cstheme="majorBidi"/>
                <w:noProof/>
                <w:webHidden/>
              </w:rPr>
              <w:fldChar w:fldCharType="end"/>
            </w:r>
          </w:hyperlink>
        </w:p>
        <w:p w14:paraId="4B5A36B7" w14:textId="4E6B2D8C" w:rsidR="008819FD" w:rsidRPr="008819FD" w:rsidRDefault="004A062E">
          <w:pPr>
            <w:pStyle w:val="TOC1"/>
            <w:rPr>
              <w:rFonts w:asciiTheme="majorBidi" w:eastAsiaTheme="minorEastAsia" w:hAnsiTheme="majorBidi" w:cstheme="majorBidi"/>
              <w:b w:val="0"/>
              <w:noProof/>
              <w:kern w:val="2"/>
              <w:sz w:val="24"/>
              <w14:ligatures w14:val="standardContextual"/>
            </w:rPr>
          </w:pPr>
          <w:hyperlink w:anchor="_Toc221804557" w:history="1">
            <w:r w:rsidR="00E1792A">
              <w:rPr>
                <w:rStyle w:val="Hyperlink"/>
                <w:rFonts w:asciiTheme="majorBidi" w:hAnsiTheme="majorBidi" w:cstheme="majorBidi"/>
                <w:noProof/>
                <w:sz w:val="24"/>
              </w:rPr>
              <w:t>Chapter 5 : The Applied Study and Its Methodology</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_Toc221804557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249</w:t>
            </w:r>
            <w:r w:rsidR="00E1792A">
              <w:rPr>
                <w:rFonts w:asciiTheme="majorBidi" w:hAnsiTheme="majorBidi" w:cstheme="majorBidi"/>
                <w:noProof/>
                <w:webHidden/>
                <w:sz w:val="24"/>
              </w:rPr>
              <w:fldChar w:fldCharType="end"/>
            </w:r>
          </w:hyperlink>
        </w:p>
        <w:p w14:paraId="5EF1E930" w14:textId="00BF2011" w:rsidR="008819FD" w:rsidRPr="008819FD" w:rsidRDefault="004A062E">
          <w:pPr>
            <w:pStyle w:val="TOC2"/>
            <w:rPr>
              <w:rFonts w:asciiTheme="majorBidi" w:eastAsiaTheme="minorEastAsia" w:hAnsiTheme="majorBidi" w:cstheme="majorBidi"/>
              <w:noProof/>
              <w:kern w:val="2"/>
              <w14:ligatures w14:val="standardContextual"/>
            </w:rPr>
          </w:pPr>
          <w:hyperlink w:anchor="_Toc221804558" w:history="1">
            <w:r w:rsidR="00E1792A">
              <w:rPr>
                <w:rStyle w:val="Hyperlink"/>
                <w:rFonts w:asciiTheme="majorBidi" w:hAnsiTheme="majorBidi" w:cstheme="majorBidi"/>
                <w:noProof/>
              </w:rPr>
              <w:t>5.1 Introduction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_Toc221804558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249</w:t>
            </w:r>
            <w:r w:rsidR="00E1792A">
              <w:rPr>
                <w:rFonts w:asciiTheme="majorBidi" w:hAnsiTheme="majorBidi" w:cstheme="majorBidi"/>
                <w:noProof/>
                <w:webHidden/>
              </w:rPr>
              <w:fldChar w:fldCharType="end"/>
            </w:r>
          </w:hyperlink>
        </w:p>
        <w:p w14:paraId="018BC70F" w14:textId="3F3DD53D" w:rsidR="008819FD" w:rsidRPr="008819FD" w:rsidRDefault="004A062E">
          <w:pPr>
            <w:pStyle w:val="TOC2"/>
            <w:rPr>
              <w:rFonts w:asciiTheme="majorBidi" w:eastAsiaTheme="minorEastAsia" w:hAnsiTheme="majorBidi" w:cstheme="majorBidi"/>
              <w:noProof/>
              <w:kern w:val="2"/>
              <w14:ligatures w14:val="standardContextual"/>
            </w:rPr>
          </w:pPr>
          <w:hyperlink w:anchor="_Toc221804559" w:history="1">
            <w:r w:rsidR="00E1792A">
              <w:rPr>
                <w:rStyle w:val="Hyperlink"/>
                <w:rFonts w:asciiTheme="majorBidi" w:hAnsiTheme="majorBidi" w:cstheme="majorBidi"/>
                <w:noProof/>
              </w:rPr>
              <w:t>5.2 Research Design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_Toc221804559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250</w:t>
            </w:r>
            <w:r w:rsidR="00E1792A">
              <w:rPr>
                <w:rFonts w:asciiTheme="majorBidi" w:hAnsiTheme="majorBidi" w:cstheme="majorBidi"/>
                <w:noProof/>
                <w:webHidden/>
              </w:rPr>
              <w:fldChar w:fldCharType="end"/>
            </w:r>
          </w:hyperlink>
        </w:p>
        <w:p w14:paraId="6A603E26" w14:textId="422A4D51"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60" w:history="1">
            <w:r w:rsidR="00E1792A">
              <w:rPr>
                <w:rStyle w:val="Hyperlink"/>
                <w:rFonts w:asciiTheme="majorBidi" w:eastAsia="Times New Roman" w:hAnsiTheme="majorBidi" w:cstheme="majorBidi"/>
                <w:noProof/>
                <w:sz w:val="24"/>
              </w:rPr>
              <w:t xml:space="preserve">5.2.1 </w:t>
            </w:r>
            <w:r w:rsidR="00E1792A">
              <w:rPr>
                <w:rStyle w:val="Hyperlink"/>
                <w:rFonts w:asciiTheme="majorBidi" w:hAnsiTheme="majorBidi" w:cstheme="majorBidi"/>
                <w:noProof/>
                <w:sz w:val="24"/>
              </w:rPr>
              <w:t>Data Collection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_Toc221804560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252</w:t>
            </w:r>
            <w:r w:rsidR="00E1792A">
              <w:rPr>
                <w:rFonts w:asciiTheme="majorBidi" w:hAnsiTheme="majorBidi" w:cstheme="majorBidi"/>
                <w:noProof/>
                <w:webHidden/>
                <w:sz w:val="24"/>
              </w:rPr>
              <w:fldChar w:fldCharType="end"/>
            </w:r>
          </w:hyperlink>
        </w:p>
        <w:p w14:paraId="093D1E63" w14:textId="6BE4FEA8"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61" w:history="1">
            <w:r w:rsidR="00E1792A">
              <w:rPr>
                <w:rStyle w:val="Hyperlink"/>
                <w:rFonts w:asciiTheme="majorBidi" w:eastAsia="Times New Roman" w:hAnsiTheme="majorBidi" w:cstheme="majorBidi"/>
                <w:noProof/>
                <w:sz w:val="24"/>
              </w:rPr>
              <w:t xml:space="preserve">5.2.2 </w:t>
            </w:r>
            <w:r w:rsidR="00E1792A">
              <w:rPr>
                <w:rStyle w:val="Hyperlink"/>
                <w:rFonts w:asciiTheme="majorBidi" w:hAnsiTheme="majorBidi" w:cstheme="majorBidi"/>
                <w:noProof/>
                <w:sz w:val="24"/>
              </w:rPr>
              <w:t>Population and Sample of the Study</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_Toc221804561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253</w:t>
            </w:r>
            <w:r w:rsidR="00E1792A">
              <w:rPr>
                <w:rFonts w:asciiTheme="majorBidi" w:hAnsiTheme="majorBidi" w:cstheme="majorBidi"/>
                <w:noProof/>
                <w:webHidden/>
                <w:sz w:val="24"/>
              </w:rPr>
              <w:fldChar w:fldCharType="end"/>
            </w:r>
          </w:hyperlink>
        </w:p>
        <w:p w14:paraId="08C36E18" w14:textId="4B0A51E4"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62" w:history="1">
            <w:r w:rsidR="00E1792A">
              <w:rPr>
                <w:rStyle w:val="Hyperlink"/>
                <w:rFonts w:asciiTheme="majorBidi" w:eastAsia="Times New Roman" w:hAnsiTheme="majorBidi" w:cstheme="majorBidi"/>
                <w:noProof/>
                <w:sz w:val="24"/>
              </w:rPr>
              <w:t xml:space="preserve">5.2.3 </w:t>
            </w:r>
            <w:r w:rsidR="00E1792A">
              <w:rPr>
                <w:rStyle w:val="Hyperlink"/>
                <w:rFonts w:asciiTheme="majorBidi" w:hAnsiTheme="majorBidi" w:cstheme="majorBidi"/>
                <w:noProof/>
                <w:sz w:val="24"/>
              </w:rPr>
              <w:t>Research Instrument</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_Toc221804562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255</w:t>
            </w:r>
            <w:r w:rsidR="00E1792A">
              <w:rPr>
                <w:rFonts w:asciiTheme="majorBidi" w:hAnsiTheme="majorBidi" w:cstheme="majorBidi"/>
                <w:noProof/>
                <w:webHidden/>
                <w:sz w:val="24"/>
              </w:rPr>
              <w:fldChar w:fldCharType="end"/>
            </w:r>
          </w:hyperlink>
        </w:p>
        <w:p w14:paraId="4C63560D" w14:textId="65F4702B" w:rsidR="008819FD" w:rsidRPr="008819FD" w:rsidRDefault="004A062E">
          <w:pPr>
            <w:pStyle w:val="TOC2"/>
            <w:rPr>
              <w:rFonts w:asciiTheme="majorBidi" w:eastAsiaTheme="minorEastAsia" w:hAnsiTheme="majorBidi" w:cstheme="majorBidi"/>
              <w:noProof/>
              <w:kern w:val="2"/>
              <w14:ligatures w14:val="standardContextual"/>
            </w:rPr>
          </w:pPr>
          <w:hyperlink w:anchor="_Toc221804563" w:history="1">
            <w:r w:rsidR="00E1792A">
              <w:rPr>
                <w:rStyle w:val="Hyperlink"/>
                <w:rFonts w:asciiTheme="majorBidi" w:hAnsiTheme="majorBidi" w:cstheme="majorBidi"/>
                <w:noProof/>
              </w:rPr>
              <w:t>5.3 Interview Data Collection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_Toc221804563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256</w:t>
            </w:r>
            <w:r w:rsidR="00E1792A">
              <w:rPr>
                <w:rFonts w:asciiTheme="majorBidi" w:hAnsiTheme="majorBidi" w:cstheme="majorBidi"/>
                <w:noProof/>
                <w:webHidden/>
              </w:rPr>
              <w:fldChar w:fldCharType="end"/>
            </w:r>
          </w:hyperlink>
        </w:p>
        <w:p w14:paraId="19E90791" w14:textId="6D800161"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64" w:history="1">
            <w:r w:rsidR="00E1792A">
              <w:rPr>
                <w:rStyle w:val="Hyperlink"/>
                <w:rFonts w:asciiTheme="majorBidi" w:eastAsia="Times New Roman" w:hAnsiTheme="majorBidi" w:cstheme="majorBidi"/>
                <w:noProof/>
                <w:sz w:val="24"/>
              </w:rPr>
              <w:t xml:space="preserve">5.3.1 </w:t>
            </w:r>
            <w:r w:rsidR="00E1792A">
              <w:rPr>
                <w:rStyle w:val="Hyperlink"/>
                <w:rFonts w:asciiTheme="majorBidi" w:hAnsiTheme="majorBidi" w:cstheme="majorBidi"/>
                <w:noProof/>
                <w:sz w:val="24"/>
              </w:rPr>
              <w:t>Sampling Technique</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_Toc221804564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257</w:t>
            </w:r>
            <w:r w:rsidR="00E1792A">
              <w:rPr>
                <w:rFonts w:asciiTheme="majorBidi" w:hAnsiTheme="majorBidi" w:cstheme="majorBidi"/>
                <w:noProof/>
                <w:webHidden/>
                <w:sz w:val="24"/>
              </w:rPr>
              <w:fldChar w:fldCharType="end"/>
            </w:r>
          </w:hyperlink>
        </w:p>
        <w:p w14:paraId="1BD40D29" w14:textId="62C1C552"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65" w:history="1">
            <w:r w:rsidR="00E1792A">
              <w:rPr>
                <w:rStyle w:val="Hyperlink"/>
                <w:rFonts w:asciiTheme="majorBidi" w:eastAsia="Times New Roman" w:hAnsiTheme="majorBidi" w:cstheme="majorBidi"/>
                <w:noProof/>
                <w:sz w:val="24"/>
              </w:rPr>
              <w:t xml:space="preserve">5.3.2 </w:t>
            </w:r>
            <w:r w:rsidR="00E1792A">
              <w:rPr>
                <w:rStyle w:val="Hyperlink"/>
                <w:rFonts w:asciiTheme="majorBidi" w:hAnsiTheme="majorBidi" w:cstheme="majorBidi"/>
                <w:noProof/>
                <w:sz w:val="24"/>
              </w:rPr>
              <w:t>Collection of Secondary Data</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_Toc221804565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258</w:t>
            </w:r>
            <w:r w:rsidR="00E1792A">
              <w:rPr>
                <w:rFonts w:asciiTheme="majorBidi" w:hAnsiTheme="majorBidi" w:cstheme="majorBidi"/>
                <w:noProof/>
                <w:webHidden/>
                <w:sz w:val="24"/>
              </w:rPr>
              <w:fldChar w:fldCharType="end"/>
            </w:r>
          </w:hyperlink>
        </w:p>
        <w:p w14:paraId="31099C50" w14:textId="3EBBC7F6"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66" w:history="1">
            <w:r w:rsidR="00E1792A">
              <w:rPr>
                <w:rStyle w:val="Hyperlink"/>
                <w:rFonts w:asciiTheme="majorBidi" w:eastAsia="Times New Roman" w:hAnsiTheme="majorBidi" w:cstheme="majorBidi"/>
                <w:noProof/>
                <w:sz w:val="24"/>
              </w:rPr>
              <w:t xml:space="preserve">5.3.3 </w:t>
            </w:r>
            <w:r w:rsidR="00E1792A">
              <w:rPr>
                <w:rStyle w:val="Hyperlink"/>
                <w:rFonts w:asciiTheme="majorBidi" w:hAnsiTheme="majorBidi" w:cstheme="majorBidi"/>
                <w:noProof/>
                <w:sz w:val="24"/>
              </w:rPr>
              <w:t>Reliability of Research</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_Toc221804566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260</w:t>
            </w:r>
            <w:r w:rsidR="00E1792A">
              <w:rPr>
                <w:rFonts w:asciiTheme="majorBidi" w:hAnsiTheme="majorBidi" w:cstheme="majorBidi"/>
                <w:noProof/>
                <w:webHidden/>
                <w:sz w:val="24"/>
              </w:rPr>
              <w:fldChar w:fldCharType="end"/>
            </w:r>
          </w:hyperlink>
        </w:p>
        <w:p w14:paraId="58BE684D" w14:textId="44F2F4CB" w:rsidR="008819FD" w:rsidRPr="008819FD" w:rsidRDefault="004A062E">
          <w:pPr>
            <w:pStyle w:val="TOC2"/>
            <w:rPr>
              <w:rFonts w:asciiTheme="majorBidi" w:eastAsiaTheme="minorEastAsia" w:hAnsiTheme="majorBidi" w:cstheme="majorBidi"/>
              <w:noProof/>
              <w:kern w:val="2"/>
              <w14:ligatures w14:val="standardContextual"/>
            </w:rPr>
          </w:pPr>
          <w:hyperlink w:anchor="_Toc221804567" w:history="1">
            <w:r w:rsidR="00E1792A">
              <w:rPr>
                <w:rStyle w:val="Hyperlink"/>
                <w:rFonts w:asciiTheme="majorBidi" w:hAnsiTheme="majorBidi" w:cstheme="majorBidi"/>
                <w:noProof/>
              </w:rPr>
              <w:t>5.4 Data Analysis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_Toc221804567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261</w:t>
            </w:r>
            <w:r w:rsidR="00E1792A">
              <w:rPr>
                <w:rFonts w:asciiTheme="majorBidi" w:hAnsiTheme="majorBidi" w:cstheme="majorBidi"/>
                <w:noProof/>
                <w:webHidden/>
              </w:rPr>
              <w:fldChar w:fldCharType="end"/>
            </w:r>
          </w:hyperlink>
        </w:p>
        <w:p w14:paraId="1BB43781" w14:textId="37A5F413"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68" w:history="1">
            <w:r w:rsidR="00E1792A">
              <w:rPr>
                <w:rStyle w:val="Hyperlink"/>
                <w:rFonts w:asciiTheme="majorBidi" w:eastAsia="Times New Roman" w:hAnsiTheme="majorBidi" w:cstheme="majorBidi"/>
                <w:noProof/>
                <w:sz w:val="24"/>
              </w:rPr>
              <w:t xml:space="preserve">5.4.1 </w:t>
            </w:r>
            <w:r w:rsidR="00E1792A">
              <w:rPr>
                <w:rStyle w:val="Hyperlink"/>
                <w:rFonts w:asciiTheme="majorBidi" w:hAnsiTheme="majorBidi" w:cstheme="majorBidi"/>
                <w:noProof/>
                <w:sz w:val="24"/>
              </w:rPr>
              <w:t>Qualitative Data Analysis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_Toc221804568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261</w:t>
            </w:r>
            <w:r w:rsidR="00E1792A">
              <w:rPr>
                <w:rFonts w:asciiTheme="majorBidi" w:hAnsiTheme="majorBidi" w:cstheme="majorBidi"/>
                <w:noProof/>
                <w:webHidden/>
                <w:sz w:val="24"/>
              </w:rPr>
              <w:fldChar w:fldCharType="end"/>
            </w:r>
          </w:hyperlink>
        </w:p>
        <w:p w14:paraId="6BC2080F" w14:textId="74915F0E"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69" w:history="1">
            <w:r w:rsidR="00E1792A">
              <w:rPr>
                <w:rStyle w:val="Hyperlink"/>
                <w:rFonts w:asciiTheme="majorBidi" w:eastAsia="Times New Roman" w:hAnsiTheme="majorBidi" w:cstheme="majorBidi"/>
                <w:noProof/>
                <w:sz w:val="24"/>
              </w:rPr>
              <w:t xml:space="preserve">5.4.2 </w:t>
            </w:r>
            <w:r w:rsidR="00E1792A">
              <w:rPr>
                <w:rStyle w:val="Hyperlink"/>
                <w:rFonts w:asciiTheme="majorBidi" w:hAnsiTheme="majorBidi" w:cstheme="majorBidi"/>
                <w:noProof/>
                <w:sz w:val="24"/>
              </w:rPr>
              <w:t>Secondary Data Analysis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_Toc221804569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262</w:t>
            </w:r>
            <w:r w:rsidR="00E1792A">
              <w:rPr>
                <w:rFonts w:asciiTheme="majorBidi" w:hAnsiTheme="majorBidi" w:cstheme="majorBidi"/>
                <w:noProof/>
                <w:webHidden/>
                <w:sz w:val="24"/>
              </w:rPr>
              <w:fldChar w:fldCharType="end"/>
            </w:r>
          </w:hyperlink>
        </w:p>
        <w:p w14:paraId="0DBC0A22" w14:textId="07F89A58" w:rsidR="008819FD" w:rsidRPr="008819FD" w:rsidRDefault="004A062E">
          <w:pPr>
            <w:pStyle w:val="TOC2"/>
            <w:rPr>
              <w:rFonts w:asciiTheme="majorBidi" w:eastAsiaTheme="minorEastAsia" w:hAnsiTheme="majorBidi" w:cstheme="majorBidi"/>
              <w:noProof/>
              <w:kern w:val="2"/>
              <w14:ligatures w14:val="standardContextual"/>
            </w:rPr>
          </w:pPr>
          <w:hyperlink w:anchor="_Toc221804570" w:history="1">
            <w:r w:rsidR="00E1792A">
              <w:rPr>
                <w:rStyle w:val="Hyperlink"/>
                <w:rFonts w:asciiTheme="majorBidi" w:hAnsiTheme="majorBidi" w:cstheme="majorBidi"/>
                <w:noProof/>
              </w:rPr>
              <w:t>5.5 Justification for Research Methods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_Toc221804570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262</w:t>
            </w:r>
            <w:r w:rsidR="00E1792A">
              <w:rPr>
                <w:rFonts w:asciiTheme="majorBidi" w:hAnsiTheme="majorBidi" w:cstheme="majorBidi"/>
                <w:noProof/>
                <w:webHidden/>
              </w:rPr>
              <w:fldChar w:fldCharType="end"/>
            </w:r>
          </w:hyperlink>
        </w:p>
        <w:p w14:paraId="01DD7660" w14:textId="7D7C03AF" w:rsidR="008819FD" w:rsidRPr="008819FD" w:rsidRDefault="004A062E">
          <w:pPr>
            <w:pStyle w:val="TOC2"/>
            <w:rPr>
              <w:rFonts w:asciiTheme="majorBidi" w:eastAsiaTheme="minorEastAsia" w:hAnsiTheme="majorBidi" w:cstheme="majorBidi"/>
              <w:noProof/>
              <w:kern w:val="2"/>
              <w14:ligatures w14:val="standardContextual"/>
            </w:rPr>
          </w:pPr>
          <w:hyperlink w:anchor="_Toc221804571" w:history="1">
            <w:r w:rsidR="00E1792A">
              <w:rPr>
                <w:rStyle w:val="Hyperlink"/>
                <w:rFonts w:asciiTheme="majorBidi" w:hAnsiTheme="majorBidi" w:cstheme="majorBidi"/>
                <w:noProof/>
              </w:rPr>
              <w:t>5.6 Research Philosophy</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_Toc221804571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263</w:t>
            </w:r>
            <w:r w:rsidR="00E1792A">
              <w:rPr>
                <w:rFonts w:asciiTheme="majorBidi" w:hAnsiTheme="majorBidi" w:cstheme="majorBidi"/>
                <w:noProof/>
                <w:webHidden/>
              </w:rPr>
              <w:fldChar w:fldCharType="end"/>
            </w:r>
          </w:hyperlink>
        </w:p>
        <w:p w14:paraId="2812E0F2" w14:textId="19A65DAB" w:rsidR="008819FD" w:rsidRPr="008819FD" w:rsidRDefault="004A062E">
          <w:pPr>
            <w:pStyle w:val="TOC2"/>
            <w:rPr>
              <w:rFonts w:asciiTheme="majorBidi" w:eastAsiaTheme="minorEastAsia" w:hAnsiTheme="majorBidi" w:cstheme="majorBidi"/>
              <w:noProof/>
              <w:kern w:val="2"/>
              <w14:ligatures w14:val="standardContextual"/>
            </w:rPr>
          </w:pPr>
          <w:hyperlink w:anchor="_Toc221804572" w:history="1">
            <w:r w:rsidR="00E1792A">
              <w:rPr>
                <w:rStyle w:val="Hyperlink"/>
                <w:rFonts w:asciiTheme="majorBidi" w:hAnsiTheme="majorBidi" w:cstheme="majorBidi"/>
                <w:noProof/>
              </w:rPr>
              <w:t>5.7 Ethical Considerations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_Toc221804572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264</w:t>
            </w:r>
            <w:r w:rsidR="00E1792A">
              <w:rPr>
                <w:rFonts w:asciiTheme="majorBidi" w:hAnsiTheme="majorBidi" w:cstheme="majorBidi"/>
                <w:noProof/>
                <w:webHidden/>
              </w:rPr>
              <w:fldChar w:fldCharType="end"/>
            </w:r>
          </w:hyperlink>
        </w:p>
        <w:p w14:paraId="774C73DD" w14:textId="1E641DCC" w:rsidR="008819FD" w:rsidRPr="008819FD" w:rsidRDefault="004A062E">
          <w:pPr>
            <w:pStyle w:val="TOC1"/>
            <w:rPr>
              <w:rFonts w:asciiTheme="majorBidi" w:eastAsiaTheme="minorEastAsia" w:hAnsiTheme="majorBidi" w:cstheme="majorBidi"/>
              <w:b w:val="0"/>
              <w:noProof/>
              <w:kern w:val="2"/>
              <w:sz w:val="24"/>
              <w14:ligatures w14:val="standardContextual"/>
            </w:rPr>
          </w:pPr>
          <w:hyperlink w:anchor="_Toc221804573" w:history="1">
            <w:r w:rsidR="00E1792A">
              <w:rPr>
                <w:rStyle w:val="Hyperlink"/>
                <w:rFonts w:asciiTheme="majorBidi" w:hAnsiTheme="majorBidi" w:cstheme="majorBidi"/>
                <w:noProof/>
                <w:sz w:val="24"/>
              </w:rPr>
              <w:t>Chapter 6 : Results and Analysis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_Toc221804573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265</w:t>
            </w:r>
            <w:r w:rsidR="00E1792A">
              <w:rPr>
                <w:rFonts w:asciiTheme="majorBidi" w:hAnsiTheme="majorBidi" w:cstheme="majorBidi"/>
                <w:noProof/>
                <w:webHidden/>
                <w:sz w:val="24"/>
              </w:rPr>
              <w:fldChar w:fldCharType="end"/>
            </w:r>
          </w:hyperlink>
        </w:p>
        <w:p w14:paraId="4B05CEDC" w14:textId="01D7E930" w:rsidR="008819FD" w:rsidRPr="008819FD" w:rsidRDefault="004A062E">
          <w:pPr>
            <w:pStyle w:val="TOC2"/>
            <w:rPr>
              <w:rFonts w:asciiTheme="majorBidi" w:eastAsiaTheme="minorEastAsia" w:hAnsiTheme="majorBidi" w:cstheme="majorBidi"/>
              <w:noProof/>
              <w:kern w:val="2"/>
              <w14:ligatures w14:val="standardContextual"/>
            </w:rPr>
          </w:pPr>
          <w:hyperlink w:anchor="_Toc221804574" w:history="1">
            <w:r w:rsidR="00E1792A">
              <w:rPr>
                <w:rStyle w:val="Hyperlink"/>
                <w:rFonts w:asciiTheme="majorBidi" w:hAnsiTheme="majorBidi" w:cstheme="majorBidi"/>
                <w:noProof/>
              </w:rPr>
              <w:t>6.1 Introduction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_Toc221804574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265</w:t>
            </w:r>
            <w:r w:rsidR="00E1792A">
              <w:rPr>
                <w:rFonts w:asciiTheme="majorBidi" w:hAnsiTheme="majorBidi" w:cstheme="majorBidi"/>
                <w:noProof/>
                <w:webHidden/>
              </w:rPr>
              <w:fldChar w:fldCharType="end"/>
            </w:r>
          </w:hyperlink>
        </w:p>
        <w:p w14:paraId="38DDA537" w14:textId="53199441" w:rsidR="008819FD" w:rsidRPr="008819FD" w:rsidRDefault="004A062E">
          <w:pPr>
            <w:pStyle w:val="TOC2"/>
            <w:rPr>
              <w:rFonts w:asciiTheme="majorBidi" w:eastAsiaTheme="minorEastAsia" w:hAnsiTheme="majorBidi" w:cstheme="majorBidi"/>
              <w:noProof/>
              <w:kern w:val="2"/>
              <w14:ligatures w14:val="standardContextual"/>
            </w:rPr>
          </w:pPr>
          <w:hyperlink w:anchor="_Toc221804575" w:history="1">
            <w:r w:rsidR="00E1792A">
              <w:rPr>
                <w:rStyle w:val="Hyperlink"/>
                <w:rFonts w:asciiTheme="majorBidi" w:hAnsiTheme="majorBidi" w:cstheme="majorBidi"/>
                <w:noProof/>
              </w:rPr>
              <w:t>6.2 Qualitative Results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_Toc221804575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265</w:t>
            </w:r>
            <w:r w:rsidR="00E1792A">
              <w:rPr>
                <w:rFonts w:asciiTheme="majorBidi" w:hAnsiTheme="majorBidi" w:cstheme="majorBidi"/>
                <w:noProof/>
                <w:webHidden/>
              </w:rPr>
              <w:fldChar w:fldCharType="end"/>
            </w:r>
          </w:hyperlink>
        </w:p>
        <w:p w14:paraId="2A17F9E9" w14:textId="175955D6"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76" w:history="1">
            <w:r w:rsidR="00E1792A">
              <w:rPr>
                <w:rStyle w:val="Hyperlink"/>
                <w:rFonts w:asciiTheme="majorBidi" w:eastAsia="Times New Roman" w:hAnsiTheme="majorBidi" w:cstheme="majorBidi"/>
                <w:noProof/>
                <w:sz w:val="24"/>
              </w:rPr>
              <w:t xml:space="preserve">6.2.1 </w:t>
            </w:r>
            <w:r w:rsidR="00E1792A">
              <w:rPr>
                <w:rStyle w:val="Hyperlink"/>
                <w:rFonts w:asciiTheme="majorBidi" w:hAnsiTheme="majorBidi" w:cstheme="majorBidi"/>
                <w:noProof/>
                <w:sz w:val="24"/>
              </w:rPr>
              <w:t>Interview Coding</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_Toc221804576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265</w:t>
            </w:r>
            <w:r w:rsidR="00E1792A">
              <w:rPr>
                <w:rFonts w:asciiTheme="majorBidi" w:hAnsiTheme="majorBidi" w:cstheme="majorBidi"/>
                <w:noProof/>
                <w:webHidden/>
                <w:sz w:val="24"/>
              </w:rPr>
              <w:fldChar w:fldCharType="end"/>
            </w:r>
          </w:hyperlink>
        </w:p>
        <w:p w14:paraId="74DB2BB2" w14:textId="593EC384"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77" w:history="1">
            <w:r w:rsidR="00E1792A">
              <w:rPr>
                <w:rStyle w:val="Hyperlink"/>
                <w:rFonts w:asciiTheme="majorBidi" w:eastAsia="Times New Roman" w:hAnsiTheme="majorBidi" w:cstheme="majorBidi"/>
                <w:noProof/>
                <w:sz w:val="24"/>
              </w:rPr>
              <w:t xml:space="preserve">6.2.2 </w:t>
            </w:r>
            <w:r w:rsidR="00E1792A">
              <w:rPr>
                <w:rStyle w:val="Hyperlink"/>
                <w:rFonts w:asciiTheme="majorBidi" w:hAnsiTheme="majorBidi" w:cstheme="majorBidi"/>
                <w:noProof/>
                <w:sz w:val="24"/>
              </w:rPr>
              <w:t>Q1:In your opinion, does the current UAE legislative framework provide a sufficient basis for regulating online commercial arbitration? What are the key legal gaps you identify in this area?</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_Toc221804577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270</w:t>
            </w:r>
            <w:r w:rsidR="00E1792A">
              <w:rPr>
                <w:rFonts w:asciiTheme="majorBidi" w:hAnsiTheme="majorBidi" w:cstheme="majorBidi"/>
                <w:noProof/>
                <w:webHidden/>
                <w:sz w:val="24"/>
              </w:rPr>
              <w:fldChar w:fldCharType="end"/>
            </w:r>
          </w:hyperlink>
        </w:p>
        <w:p w14:paraId="17283384" w14:textId="57DF7173"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78" w:history="1">
            <w:r w:rsidR="00E1792A">
              <w:rPr>
                <w:rStyle w:val="Hyperlink"/>
                <w:rFonts w:asciiTheme="majorBidi" w:eastAsia="Times New Roman" w:hAnsiTheme="majorBidi" w:cstheme="majorBidi"/>
                <w:noProof/>
                <w:sz w:val="24"/>
              </w:rPr>
              <w:t xml:space="preserve">6.2.3 </w:t>
            </w:r>
            <w:r w:rsidR="00E1792A">
              <w:rPr>
                <w:rStyle w:val="Hyperlink"/>
                <w:rFonts w:asciiTheme="majorBidi" w:hAnsiTheme="majorBidi" w:cstheme="majorBidi"/>
                <w:noProof/>
                <w:sz w:val="24"/>
              </w:rPr>
              <w:t>Q2:How do you assess the compatibility of UAE arbitration laws with international principles such as the UNCITRAL Model Law on electronic commercial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_Toc221804578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275</w:t>
            </w:r>
            <w:r w:rsidR="00E1792A">
              <w:rPr>
                <w:rFonts w:asciiTheme="majorBidi" w:hAnsiTheme="majorBidi" w:cstheme="majorBidi"/>
                <w:noProof/>
                <w:webHidden/>
                <w:sz w:val="24"/>
              </w:rPr>
              <w:fldChar w:fldCharType="end"/>
            </w:r>
          </w:hyperlink>
        </w:p>
        <w:p w14:paraId="7C4D1F7F" w14:textId="32102218"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79" w:history="1">
            <w:r w:rsidR="00E1792A">
              <w:rPr>
                <w:rStyle w:val="Hyperlink"/>
                <w:rFonts w:asciiTheme="majorBidi" w:eastAsia="Times New Roman" w:hAnsiTheme="majorBidi" w:cstheme="majorBidi"/>
                <w:noProof/>
                <w:sz w:val="24"/>
              </w:rPr>
              <w:t xml:space="preserve">6.2.4 </w:t>
            </w:r>
            <w:r w:rsidR="00E1792A">
              <w:rPr>
                <w:rStyle w:val="Hyperlink"/>
                <w:rFonts w:asciiTheme="majorBidi" w:hAnsiTheme="majorBidi" w:cstheme="majorBidi"/>
                <w:noProof/>
                <w:sz w:val="24"/>
              </w:rPr>
              <w:t>Q3:Do you believe there is a need for a separate law to govern electronic arbitration, or are amendments to existing laws (such as Federal Arbitration Law No. 6 of 2018 and its amendments) sufficient?</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_Toc221804579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280</w:t>
            </w:r>
            <w:r w:rsidR="00E1792A">
              <w:rPr>
                <w:rFonts w:asciiTheme="majorBidi" w:hAnsiTheme="majorBidi" w:cstheme="majorBidi"/>
                <w:noProof/>
                <w:webHidden/>
                <w:sz w:val="24"/>
              </w:rPr>
              <w:fldChar w:fldCharType="end"/>
            </w:r>
          </w:hyperlink>
        </w:p>
        <w:p w14:paraId="35BE5575" w14:textId="2FF8B9FA"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80" w:history="1">
            <w:r w:rsidR="00E1792A">
              <w:rPr>
                <w:rStyle w:val="Hyperlink"/>
                <w:rFonts w:asciiTheme="majorBidi" w:eastAsia="Times New Roman" w:hAnsiTheme="majorBidi" w:cstheme="majorBidi"/>
                <w:noProof/>
                <w:sz w:val="24"/>
              </w:rPr>
              <w:t xml:space="preserve">6.2.5 </w:t>
            </w:r>
            <w:r w:rsidR="00E1792A">
              <w:rPr>
                <w:rStyle w:val="Hyperlink"/>
                <w:rFonts w:asciiTheme="majorBidi" w:hAnsiTheme="majorBidi" w:cstheme="majorBidi"/>
                <w:noProof/>
                <w:sz w:val="24"/>
              </w:rPr>
              <w:t>Q4: What are the main procedural challenges faced by parties and arbitrators in online commercial arbitration in the UAE?</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_Toc221804580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285</w:t>
            </w:r>
            <w:r w:rsidR="00E1792A">
              <w:rPr>
                <w:rFonts w:asciiTheme="majorBidi" w:hAnsiTheme="majorBidi" w:cstheme="majorBidi"/>
                <w:noProof/>
                <w:webHidden/>
                <w:sz w:val="24"/>
              </w:rPr>
              <w:fldChar w:fldCharType="end"/>
            </w:r>
          </w:hyperlink>
        </w:p>
        <w:p w14:paraId="61E128F7" w14:textId="74037BB1"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81" w:history="1">
            <w:r w:rsidR="00E1792A">
              <w:rPr>
                <w:rStyle w:val="Hyperlink"/>
                <w:rFonts w:asciiTheme="majorBidi" w:eastAsia="Times New Roman" w:hAnsiTheme="majorBidi" w:cstheme="majorBidi"/>
                <w:noProof/>
                <w:sz w:val="24"/>
              </w:rPr>
              <w:t xml:space="preserve">6.2.6 </w:t>
            </w:r>
            <w:r w:rsidR="00E1792A">
              <w:rPr>
                <w:rStyle w:val="Hyperlink"/>
                <w:rFonts w:asciiTheme="majorBidi" w:hAnsiTheme="majorBidi" w:cstheme="majorBidi"/>
                <w:noProof/>
                <w:sz w:val="24"/>
              </w:rPr>
              <w:t>Q5: How effective are the currently used digital platforms in managing online commercial arbitration proceedings?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_Toc221804581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289</w:t>
            </w:r>
            <w:r w:rsidR="00E1792A">
              <w:rPr>
                <w:rFonts w:asciiTheme="majorBidi" w:hAnsiTheme="majorBidi" w:cstheme="majorBidi"/>
                <w:noProof/>
                <w:webHidden/>
                <w:sz w:val="24"/>
              </w:rPr>
              <w:fldChar w:fldCharType="end"/>
            </w:r>
          </w:hyperlink>
        </w:p>
        <w:p w14:paraId="15ED862B" w14:textId="44AD2744"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82" w:history="1">
            <w:r w:rsidR="00E1792A">
              <w:rPr>
                <w:rStyle w:val="Hyperlink"/>
                <w:rFonts w:asciiTheme="majorBidi" w:eastAsia="Times New Roman" w:hAnsiTheme="majorBidi" w:cstheme="majorBidi"/>
                <w:noProof/>
                <w:sz w:val="24"/>
              </w:rPr>
              <w:t xml:space="preserve">6.2.7 </w:t>
            </w:r>
            <w:r w:rsidR="00E1792A">
              <w:rPr>
                <w:rStyle w:val="Hyperlink"/>
                <w:rFonts w:asciiTheme="majorBidi" w:hAnsiTheme="majorBidi" w:cstheme="majorBidi"/>
                <w:noProof/>
                <w:sz w:val="24"/>
              </w:rPr>
              <w:t>Q6:What procedural reforms would you suggest to ensure flexibility and efficiency in online arbitration, particularly regarding the management of hearings and document exchange?</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_Toc221804582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293</w:t>
            </w:r>
            <w:r w:rsidR="00E1792A">
              <w:rPr>
                <w:rFonts w:asciiTheme="majorBidi" w:hAnsiTheme="majorBidi" w:cstheme="majorBidi"/>
                <w:noProof/>
                <w:webHidden/>
                <w:sz w:val="24"/>
              </w:rPr>
              <w:fldChar w:fldCharType="end"/>
            </w:r>
          </w:hyperlink>
        </w:p>
        <w:p w14:paraId="5440CB74" w14:textId="41C8402F"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83" w:history="1">
            <w:r w:rsidR="00E1792A">
              <w:rPr>
                <w:rStyle w:val="Hyperlink"/>
                <w:rFonts w:asciiTheme="majorBidi" w:eastAsia="Times New Roman" w:hAnsiTheme="majorBidi" w:cstheme="majorBidi"/>
                <w:noProof/>
                <w:sz w:val="24"/>
              </w:rPr>
              <w:t xml:space="preserve">6.2.8 </w:t>
            </w:r>
            <w:r w:rsidR="00E1792A">
              <w:rPr>
                <w:rStyle w:val="Hyperlink"/>
                <w:rFonts w:asciiTheme="majorBidi" w:hAnsiTheme="majorBidi" w:cstheme="majorBidi"/>
                <w:noProof/>
                <w:sz w:val="24"/>
              </w:rPr>
              <w:t>Q7:Do you believe confidentiality and data protection are sufficiently safeguarded in online arbitration proceedings, especially with the use of remote communication technologies?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_Toc221804583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297</w:t>
            </w:r>
            <w:r w:rsidR="00E1792A">
              <w:rPr>
                <w:rFonts w:asciiTheme="majorBidi" w:hAnsiTheme="majorBidi" w:cstheme="majorBidi"/>
                <w:noProof/>
                <w:webHidden/>
                <w:sz w:val="24"/>
              </w:rPr>
              <w:fldChar w:fldCharType="end"/>
            </w:r>
          </w:hyperlink>
        </w:p>
        <w:p w14:paraId="54CA04F2" w14:textId="3A5314CE"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84" w:history="1">
            <w:r w:rsidR="00E1792A">
              <w:rPr>
                <w:rStyle w:val="Hyperlink"/>
                <w:rFonts w:asciiTheme="majorBidi" w:eastAsia="Times New Roman" w:hAnsiTheme="majorBidi" w:cstheme="majorBidi"/>
                <w:noProof/>
                <w:sz w:val="24"/>
              </w:rPr>
              <w:t xml:space="preserve">6.2.9 </w:t>
            </w:r>
            <w:r w:rsidR="00E1792A">
              <w:rPr>
                <w:rStyle w:val="Hyperlink"/>
                <w:rFonts w:asciiTheme="majorBidi" w:hAnsiTheme="majorBidi" w:cstheme="majorBidi"/>
                <w:noProof/>
                <w:sz w:val="24"/>
              </w:rPr>
              <w:t>Q8:What are the main threats that could compromise the confidentiality of information during online commercial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_Toc221804584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301</w:t>
            </w:r>
            <w:r w:rsidR="00E1792A">
              <w:rPr>
                <w:rFonts w:asciiTheme="majorBidi" w:hAnsiTheme="majorBidi" w:cstheme="majorBidi"/>
                <w:noProof/>
                <w:webHidden/>
                <w:sz w:val="24"/>
              </w:rPr>
              <w:fldChar w:fldCharType="end"/>
            </w:r>
          </w:hyperlink>
        </w:p>
        <w:p w14:paraId="652C8FA7" w14:textId="2051F27D"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85" w:history="1">
            <w:r w:rsidR="00E1792A">
              <w:rPr>
                <w:rStyle w:val="Hyperlink"/>
                <w:rFonts w:asciiTheme="majorBidi" w:eastAsia="Times New Roman" w:hAnsiTheme="majorBidi" w:cstheme="majorBidi"/>
                <w:noProof/>
                <w:sz w:val="24"/>
              </w:rPr>
              <w:t xml:space="preserve">6.2.10 </w:t>
            </w:r>
            <w:r w:rsidR="00E1792A">
              <w:rPr>
                <w:rStyle w:val="Hyperlink"/>
                <w:rFonts w:asciiTheme="majorBidi" w:hAnsiTheme="majorBidi" w:cstheme="majorBidi"/>
                <w:noProof/>
                <w:sz w:val="24"/>
              </w:rPr>
              <w:t>Q9:What legal and technical measures can be adopted to ensure the confidentiality of data in online commercial arbitration proceedings?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_Toc221804585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306</w:t>
            </w:r>
            <w:r w:rsidR="00E1792A">
              <w:rPr>
                <w:rFonts w:asciiTheme="majorBidi" w:hAnsiTheme="majorBidi" w:cstheme="majorBidi"/>
                <w:noProof/>
                <w:webHidden/>
                <w:sz w:val="24"/>
              </w:rPr>
              <w:fldChar w:fldCharType="end"/>
            </w:r>
          </w:hyperlink>
        </w:p>
        <w:p w14:paraId="798FEE67" w14:textId="02D05C1D"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86" w:history="1">
            <w:r w:rsidR="00E1792A">
              <w:rPr>
                <w:rStyle w:val="Hyperlink"/>
                <w:rFonts w:asciiTheme="majorBidi" w:eastAsia="Times New Roman" w:hAnsiTheme="majorBidi" w:cstheme="majorBidi"/>
                <w:noProof/>
                <w:sz w:val="24"/>
              </w:rPr>
              <w:t xml:space="preserve">6.2.11 </w:t>
            </w:r>
            <w:r w:rsidR="00E1792A">
              <w:rPr>
                <w:rStyle w:val="Hyperlink"/>
                <w:rFonts w:asciiTheme="majorBidi" w:hAnsiTheme="majorBidi" w:cstheme="majorBidi"/>
                <w:noProof/>
                <w:sz w:val="24"/>
              </w:rPr>
              <w:t>Q10: How do you envision the future of online commercial arbitration in the UAE in light of rapid digital transformation? What role should legislation play in this context?</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_Toc221804586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310</w:t>
            </w:r>
            <w:r w:rsidR="00E1792A">
              <w:rPr>
                <w:rFonts w:asciiTheme="majorBidi" w:hAnsiTheme="majorBidi" w:cstheme="majorBidi"/>
                <w:noProof/>
                <w:webHidden/>
                <w:sz w:val="24"/>
              </w:rPr>
              <w:fldChar w:fldCharType="end"/>
            </w:r>
          </w:hyperlink>
        </w:p>
        <w:p w14:paraId="21B9E579" w14:textId="0E6A6894" w:rsidR="008819FD" w:rsidRPr="008819FD" w:rsidRDefault="004A062E">
          <w:pPr>
            <w:pStyle w:val="TOC2"/>
            <w:rPr>
              <w:rFonts w:asciiTheme="majorBidi" w:eastAsiaTheme="minorEastAsia" w:hAnsiTheme="majorBidi" w:cstheme="majorBidi"/>
              <w:noProof/>
              <w:kern w:val="2"/>
              <w14:ligatures w14:val="standardContextual"/>
            </w:rPr>
          </w:pPr>
          <w:hyperlink w:anchor="_Toc221804587" w:history="1">
            <w:r w:rsidR="00E1792A">
              <w:rPr>
                <w:rStyle w:val="Hyperlink"/>
                <w:rFonts w:asciiTheme="majorBidi" w:hAnsiTheme="majorBidi" w:cstheme="majorBidi"/>
                <w:noProof/>
              </w:rPr>
              <w:t>6.3 Quantitative Results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_Toc221804587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321</w:t>
            </w:r>
            <w:r w:rsidR="00E1792A">
              <w:rPr>
                <w:rFonts w:asciiTheme="majorBidi" w:hAnsiTheme="majorBidi" w:cstheme="majorBidi"/>
                <w:noProof/>
                <w:webHidden/>
              </w:rPr>
              <w:fldChar w:fldCharType="end"/>
            </w:r>
          </w:hyperlink>
        </w:p>
        <w:p w14:paraId="73A516C4" w14:textId="233AB768"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88" w:history="1">
            <w:r w:rsidR="00E1792A">
              <w:rPr>
                <w:rStyle w:val="Hyperlink"/>
                <w:rFonts w:asciiTheme="majorBidi" w:eastAsia="Times New Roman" w:hAnsiTheme="majorBidi" w:cstheme="majorBidi"/>
                <w:noProof/>
                <w:sz w:val="24"/>
              </w:rPr>
              <w:t xml:space="preserve">6.3.1 </w:t>
            </w:r>
            <w:r w:rsidR="00E1792A">
              <w:rPr>
                <w:rStyle w:val="Hyperlink"/>
                <w:rFonts w:asciiTheme="majorBidi" w:hAnsiTheme="majorBidi" w:cstheme="majorBidi"/>
                <w:noProof/>
                <w:sz w:val="24"/>
              </w:rPr>
              <w:t>Introduction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_Toc221804588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321</w:t>
            </w:r>
            <w:r w:rsidR="00E1792A">
              <w:rPr>
                <w:rFonts w:asciiTheme="majorBidi" w:hAnsiTheme="majorBidi" w:cstheme="majorBidi"/>
                <w:noProof/>
                <w:webHidden/>
                <w:sz w:val="24"/>
              </w:rPr>
              <w:fldChar w:fldCharType="end"/>
            </w:r>
          </w:hyperlink>
        </w:p>
        <w:p w14:paraId="1F6745CE" w14:textId="1E9ADFC2"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89" w:history="1">
            <w:r w:rsidR="00E1792A">
              <w:rPr>
                <w:rStyle w:val="Hyperlink"/>
                <w:rFonts w:asciiTheme="majorBidi" w:eastAsia="Times New Roman" w:hAnsiTheme="majorBidi" w:cstheme="majorBidi"/>
                <w:noProof/>
                <w:sz w:val="24"/>
              </w:rPr>
              <w:t xml:space="preserve">6.3.2 </w:t>
            </w:r>
            <w:r w:rsidR="00E1792A">
              <w:rPr>
                <w:rStyle w:val="Hyperlink"/>
                <w:rFonts w:asciiTheme="majorBidi" w:hAnsiTheme="majorBidi" w:cstheme="majorBidi"/>
                <w:noProof/>
                <w:sz w:val="24"/>
              </w:rPr>
              <w:t>Demographics data</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_Toc221804589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325</w:t>
            </w:r>
            <w:r w:rsidR="00E1792A">
              <w:rPr>
                <w:rFonts w:asciiTheme="majorBidi" w:hAnsiTheme="majorBidi" w:cstheme="majorBidi"/>
                <w:noProof/>
                <w:webHidden/>
                <w:sz w:val="24"/>
              </w:rPr>
              <w:fldChar w:fldCharType="end"/>
            </w:r>
          </w:hyperlink>
        </w:p>
        <w:p w14:paraId="57EDB931" w14:textId="3686DA30"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90" w:history="1">
            <w:r w:rsidR="00E1792A">
              <w:rPr>
                <w:rStyle w:val="Hyperlink"/>
                <w:rFonts w:asciiTheme="majorBidi" w:hAnsiTheme="majorBidi" w:cstheme="majorBidi"/>
                <w:noProof/>
                <w:sz w:val="24"/>
              </w:rPr>
              <w:t>6.3.3 Online dispute resolution in the UAE</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_Toc221804590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336</w:t>
            </w:r>
            <w:r w:rsidR="00E1792A">
              <w:rPr>
                <w:rFonts w:asciiTheme="majorBidi" w:hAnsiTheme="majorBidi" w:cstheme="majorBidi"/>
                <w:noProof/>
                <w:webHidden/>
                <w:sz w:val="24"/>
              </w:rPr>
              <w:fldChar w:fldCharType="end"/>
            </w:r>
          </w:hyperlink>
        </w:p>
        <w:p w14:paraId="55E65FF8" w14:textId="6E6D2C91"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92" w:history="1">
            <w:r w:rsidR="00E1792A">
              <w:rPr>
                <w:rStyle w:val="Hyperlink"/>
                <w:rFonts w:asciiTheme="majorBidi" w:hAnsiTheme="majorBidi" w:cstheme="majorBidi"/>
                <w:noProof/>
                <w:sz w:val="24"/>
              </w:rPr>
              <w:t>6.3.4 Satisfaction with the online arbitration process?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_Toc221804592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339</w:t>
            </w:r>
            <w:r w:rsidR="00E1792A">
              <w:rPr>
                <w:rFonts w:asciiTheme="majorBidi" w:hAnsiTheme="majorBidi" w:cstheme="majorBidi"/>
                <w:noProof/>
                <w:webHidden/>
                <w:sz w:val="24"/>
              </w:rPr>
              <w:fldChar w:fldCharType="end"/>
            </w:r>
          </w:hyperlink>
        </w:p>
        <w:p w14:paraId="01FC9EC4" w14:textId="6D539B4D"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93" w:history="1">
            <w:r w:rsidR="00E1792A">
              <w:rPr>
                <w:rStyle w:val="Hyperlink"/>
                <w:rFonts w:asciiTheme="majorBidi" w:hAnsiTheme="majorBidi" w:cstheme="majorBidi"/>
                <w:noProof/>
                <w:sz w:val="24"/>
              </w:rPr>
              <w:t>6.3.5 Protocols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_Toc221804593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342</w:t>
            </w:r>
            <w:r w:rsidR="00E1792A">
              <w:rPr>
                <w:rFonts w:asciiTheme="majorBidi" w:hAnsiTheme="majorBidi" w:cstheme="majorBidi"/>
                <w:noProof/>
                <w:webHidden/>
                <w:sz w:val="24"/>
              </w:rPr>
              <w:fldChar w:fldCharType="end"/>
            </w:r>
          </w:hyperlink>
        </w:p>
        <w:p w14:paraId="5363675F" w14:textId="3B79D714"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94" w:history="1">
            <w:r w:rsidR="00E1792A">
              <w:rPr>
                <w:rStyle w:val="Hyperlink"/>
                <w:rFonts w:asciiTheme="majorBidi" w:hAnsiTheme="majorBidi" w:cstheme="majorBidi"/>
                <w:noProof/>
                <w:sz w:val="24"/>
              </w:rPr>
              <w:t>6.3.6 Online arbitration procedures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_Toc221804594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344</w:t>
            </w:r>
            <w:r w:rsidR="00E1792A">
              <w:rPr>
                <w:rFonts w:asciiTheme="majorBidi" w:hAnsiTheme="majorBidi" w:cstheme="majorBidi"/>
                <w:noProof/>
                <w:webHidden/>
                <w:sz w:val="24"/>
              </w:rPr>
              <w:fldChar w:fldCharType="end"/>
            </w:r>
          </w:hyperlink>
        </w:p>
        <w:p w14:paraId="27817AC3" w14:textId="4C3CE8B7"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95" w:history="1">
            <w:r w:rsidR="00E1792A">
              <w:rPr>
                <w:rStyle w:val="Hyperlink"/>
                <w:rFonts w:asciiTheme="majorBidi" w:hAnsiTheme="majorBidi" w:cstheme="majorBidi"/>
                <w:noProof/>
                <w:sz w:val="24"/>
              </w:rPr>
              <w:t>6.3.7 Feelings about Online arbitration platforms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_Toc221804595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347</w:t>
            </w:r>
            <w:r w:rsidR="00E1792A">
              <w:rPr>
                <w:rFonts w:asciiTheme="majorBidi" w:hAnsiTheme="majorBidi" w:cstheme="majorBidi"/>
                <w:noProof/>
                <w:webHidden/>
                <w:sz w:val="24"/>
              </w:rPr>
              <w:fldChar w:fldCharType="end"/>
            </w:r>
          </w:hyperlink>
        </w:p>
        <w:p w14:paraId="2D4F4DC1" w14:textId="57B89523"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596" w:history="1">
            <w:r w:rsidR="00E1792A">
              <w:rPr>
                <w:rStyle w:val="Hyperlink"/>
                <w:rFonts w:asciiTheme="majorBidi" w:eastAsia="Times New Roman" w:hAnsiTheme="majorBidi" w:cstheme="majorBidi"/>
                <w:noProof/>
                <w:sz w:val="24"/>
              </w:rPr>
              <w:t xml:space="preserve">6.3.8 </w:t>
            </w:r>
            <w:r w:rsidR="00E1792A">
              <w:rPr>
                <w:rStyle w:val="Hyperlink"/>
                <w:rFonts w:asciiTheme="majorBidi" w:hAnsiTheme="majorBidi" w:cstheme="majorBidi"/>
                <w:noProof/>
                <w:sz w:val="24"/>
              </w:rPr>
              <w:t>law governing online arbitration in the UAE</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_Toc221804596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350</w:t>
            </w:r>
            <w:r w:rsidR="00E1792A">
              <w:rPr>
                <w:rFonts w:asciiTheme="majorBidi" w:hAnsiTheme="majorBidi" w:cstheme="majorBidi"/>
                <w:noProof/>
                <w:webHidden/>
                <w:sz w:val="24"/>
              </w:rPr>
              <w:fldChar w:fldCharType="end"/>
            </w:r>
          </w:hyperlink>
        </w:p>
        <w:p w14:paraId="5666A075" w14:textId="5F3E45B1" w:rsidR="008819FD" w:rsidRPr="008819FD" w:rsidRDefault="004A062E">
          <w:pPr>
            <w:pStyle w:val="TOC1"/>
            <w:rPr>
              <w:rFonts w:asciiTheme="majorBidi" w:eastAsiaTheme="minorEastAsia" w:hAnsiTheme="majorBidi" w:cstheme="majorBidi"/>
              <w:b w:val="0"/>
              <w:noProof/>
              <w:kern w:val="2"/>
              <w:sz w:val="24"/>
              <w14:ligatures w14:val="standardContextual"/>
            </w:rPr>
          </w:pPr>
          <w:hyperlink w:anchor="_Toc221804597" w:history="1">
            <w:r w:rsidR="00E1792A">
              <w:rPr>
                <w:rStyle w:val="Hyperlink"/>
                <w:rFonts w:asciiTheme="majorBidi" w:eastAsia="Times New Roman" w:hAnsiTheme="majorBidi" w:cstheme="majorBidi"/>
                <w:noProof/>
                <w:sz w:val="24"/>
                <w:lang w:bidi="en-US"/>
              </w:rPr>
              <w:t>Chapter 7 : Findings, Contribution, and Conclusion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_Toc221804597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352</w:t>
            </w:r>
            <w:r w:rsidR="00E1792A">
              <w:rPr>
                <w:rFonts w:asciiTheme="majorBidi" w:hAnsiTheme="majorBidi" w:cstheme="majorBidi"/>
                <w:noProof/>
                <w:webHidden/>
                <w:sz w:val="24"/>
              </w:rPr>
              <w:fldChar w:fldCharType="end"/>
            </w:r>
          </w:hyperlink>
        </w:p>
        <w:p w14:paraId="3A267CF3" w14:textId="7304794E" w:rsidR="008819FD" w:rsidRPr="008819FD" w:rsidRDefault="004A062E">
          <w:pPr>
            <w:pStyle w:val="TOC2"/>
            <w:rPr>
              <w:rFonts w:asciiTheme="majorBidi" w:eastAsiaTheme="minorEastAsia" w:hAnsiTheme="majorBidi" w:cstheme="majorBidi"/>
              <w:noProof/>
              <w:kern w:val="2"/>
              <w14:ligatures w14:val="standardContextual"/>
            </w:rPr>
          </w:pPr>
          <w:hyperlink w:anchor="_Toc221804598" w:history="1">
            <w:r w:rsidR="00E1792A">
              <w:rPr>
                <w:rStyle w:val="Hyperlink"/>
                <w:rFonts w:asciiTheme="majorBidi" w:hAnsiTheme="majorBidi" w:cstheme="majorBidi"/>
                <w:noProof/>
              </w:rPr>
              <w:t>7.1 Introduction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_Toc221804598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352</w:t>
            </w:r>
            <w:r w:rsidR="00E1792A">
              <w:rPr>
                <w:rFonts w:asciiTheme="majorBidi" w:hAnsiTheme="majorBidi" w:cstheme="majorBidi"/>
                <w:noProof/>
                <w:webHidden/>
              </w:rPr>
              <w:fldChar w:fldCharType="end"/>
            </w:r>
          </w:hyperlink>
        </w:p>
        <w:p w14:paraId="719444F3" w14:textId="0DAE95A8" w:rsidR="008819FD" w:rsidRPr="008819FD" w:rsidRDefault="004A062E">
          <w:pPr>
            <w:pStyle w:val="TOC2"/>
            <w:rPr>
              <w:rFonts w:asciiTheme="majorBidi" w:eastAsiaTheme="minorEastAsia" w:hAnsiTheme="majorBidi" w:cstheme="majorBidi"/>
              <w:noProof/>
              <w:kern w:val="2"/>
              <w14:ligatures w14:val="standardContextual"/>
            </w:rPr>
          </w:pPr>
          <w:hyperlink w:anchor="_Toc221804599" w:history="1">
            <w:r w:rsidR="00E1792A">
              <w:rPr>
                <w:rStyle w:val="Hyperlink"/>
                <w:rFonts w:asciiTheme="majorBidi" w:hAnsiTheme="majorBidi" w:cstheme="majorBidi"/>
                <w:noProof/>
              </w:rPr>
              <w:t>7.2 Findings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_Toc221804599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352</w:t>
            </w:r>
            <w:r w:rsidR="00E1792A">
              <w:rPr>
                <w:rFonts w:asciiTheme="majorBidi" w:hAnsiTheme="majorBidi" w:cstheme="majorBidi"/>
                <w:noProof/>
                <w:webHidden/>
              </w:rPr>
              <w:fldChar w:fldCharType="end"/>
            </w:r>
          </w:hyperlink>
        </w:p>
        <w:p w14:paraId="602613D7" w14:textId="7DB00C4B"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00" w:history="1">
            <w:r w:rsidR="00E1792A">
              <w:rPr>
                <w:rStyle w:val="Hyperlink"/>
                <w:rFonts w:asciiTheme="majorBidi" w:eastAsia="Times New Roman" w:hAnsiTheme="majorBidi" w:cstheme="majorBidi"/>
                <w:noProof/>
                <w:sz w:val="24"/>
              </w:rPr>
              <w:t xml:space="preserve">7.2.1 </w:t>
            </w:r>
            <w:r w:rsidR="00E1792A">
              <w:rPr>
                <w:rStyle w:val="Hyperlink"/>
                <w:rFonts w:asciiTheme="majorBidi" w:hAnsiTheme="majorBidi" w:cstheme="majorBidi"/>
                <w:noProof/>
                <w:sz w:val="24"/>
              </w:rPr>
              <w:t>Summary of Theoretical Findings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_Toc221804600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352</w:t>
            </w:r>
            <w:r w:rsidR="00E1792A">
              <w:rPr>
                <w:rFonts w:asciiTheme="majorBidi" w:hAnsiTheme="majorBidi" w:cstheme="majorBidi"/>
                <w:noProof/>
                <w:webHidden/>
                <w:sz w:val="24"/>
              </w:rPr>
              <w:fldChar w:fldCharType="end"/>
            </w:r>
          </w:hyperlink>
        </w:p>
        <w:p w14:paraId="2FD3F8CC" w14:textId="65D49746"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01" w:history="1">
            <w:r w:rsidR="00E1792A">
              <w:rPr>
                <w:rStyle w:val="Hyperlink"/>
                <w:rFonts w:asciiTheme="majorBidi" w:eastAsia="Times New Roman" w:hAnsiTheme="majorBidi" w:cstheme="majorBidi"/>
                <w:noProof/>
                <w:sz w:val="24"/>
              </w:rPr>
              <w:t xml:space="preserve">7.2.2 </w:t>
            </w:r>
            <w:r w:rsidR="00E1792A">
              <w:rPr>
                <w:rStyle w:val="Hyperlink"/>
                <w:rFonts w:asciiTheme="majorBidi" w:hAnsiTheme="majorBidi" w:cstheme="majorBidi"/>
                <w:noProof/>
                <w:sz w:val="24"/>
              </w:rPr>
              <w:t>Summary of Empirical Findings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_Toc221804601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357</w:t>
            </w:r>
            <w:r w:rsidR="00E1792A">
              <w:rPr>
                <w:rFonts w:asciiTheme="majorBidi" w:hAnsiTheme="majorBidi" w:cstheme="majorBidi"/>
                <w:noProof/>
                <w:webHidden/>
                <w:sz w:val="24"/>
              </w:rPr>
              <w:fldChar w:fldCharType="end"/>
            </w:r>
          </w:hyperlink>
        </w:p>
        <w:p w14:paraId="71FC6DD8" w14:textId="27BC465A"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02" w:history="1">
            <w:r w:rsidR="00E1792A">
              <w:rPr>
                <w:rStyle w:val="Hyperlink"/>
                <w:rFonts w:asciiTheme="majorBidi" w:hAnsiTheme="majorBidi" w:cstheme="majorBidi"/>
                <w:noProof/>
                <w:sz w:val="24"/>
              </w:rPr>
              <w:t xml:space="preserve">7.2.2.1 Adequacy of the </w:t>
            </w:r>
            <w:r w:rsidR="00E1792A">
              <w:rPr>
                <w:rStyle w:val="Hyperlink"/>
                <w:rFonts w:asciiTheme="majorBidi" w:eastAsia="Times New Roman" w:hAnsiTheme="majorBidi" w:cstheme="majorBidi"/>
                <w:noProof/>
                <w:sz w:val="24"/>
              </w:rPr>
              <w:t>Current</w:t>
            </w:r>
            <w:r w:rsidR="00E1792A">
              <w:rPr>
                <w:rStyle w:val="Hyperlink"/>
                <w:rFonts w:asciiTheme="majorBidi" w:hAnsiTheme="majorBidi" w:cstheme="majorBidi"/>
                <w:noProof/>
                <w:sz w:val="24"/>
              </w:rPr>
              <w:t xml:space="preserve"> Legislative Framework</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_Toc221804602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357</w:t>
            </w:r>
            <w:r w:rsidR="00E1792A">
              <w:rPr>
                <w:rFonts w:asciiTheme="majorBidi" w:hAnsiTheme="majorBidi" w:cstheme="majorBidi"/>
                <w:noProof/>
                <w:webHidden/>
                <w:sz w:val="24"/>
              </w:rPr>
              <w:fldChar w:fldCharType="end"/>
            </w:r>
          </w:hyperlink>
        </w:p>
        <w:p w14:paraId="7C0ED919" w14:textId="7CE3B013"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03" w:history="1">
            <w:r w:rsidR="00E1792A">
              <w:rPr>
                <w:rStyle w:val="Hyperlink"/>
                <w:rFonts w:asciiTheme="majorBidi" w:hAnsiTheme="majorBidi" w:cstheme="majorBidi"/>
                <w:noProof/>
                <w:sz w:val="24"/>
              </w:rPr>
              <w:t>7.2.2.2 Compatibility with International Standards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_Toc221804603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358</w:t>
            </w:r>
            <w:r w:rsidR="00E1792A">
              <w:rPr>
                <w:rFonts w:asciiTheme="majorBidi" w:hAnsiTheme="majorBidi" w:cstheme="majorBidi"/>
                <w:noProof/>
                <w:webHidden/>
                <w:sz w:val="24"/>
              </w:rPr>
              <w:fldChar w:fldCharType="end"/>
            </w:r>
          </w:hyperlink>
        </w:p>
        <w:p w14:paraId="60AB87FF" w14:textId="45E6D0BF"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04" w:history="1">
            <w:r w:rsidR="00E1792A">
              <w:rPr>
                <w:rStyle w:val="Hyperlink"/>
                <w:rFonts w:asciiTheme="majorBidi" w:hAnsiTheme="majorBidi" w:cstheme="majorBidi"/>
                <w:noProof/>
                <w:sz w:val="24"/>
              </w:rPr>
              <w:t>7.2.2.3 Procedural Challenges in Online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_Toc221804604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359</w:t>
            </w:r>
            <w:r w:rsidR="00E1792A">
              <w:rPr>
                <w:rFonts w:asciiTheme="majorBidi" w:hAnsiTheme="majorBidi" w:cstheme="majorBidi"/>
                <w:noProof/>
                <w:webHidden/>
                <w:sz w:val="24"/>
              </w:rPr>
              <w:fldChar w:fldCharType="end"/>
            </w:r>
          </w:hyperlink>
        </w:p>
        <w:p w14:paraId="2F8D1B7A" w14:textId="42E3155D" w:rsidR="008819FD" w:rsidRPr="008819FD" w:rsidRDefault="004A062E">
          <w:pPr>
            <w:pStyle w:val="TOC2"/>
            <w:rPr>
              <w:rFonts w:asciiTheme="majorBidi" w:eastAsiaTheme="minorEastAsia" w:hAnsiTheme="majorBidi" w:cstheme="majorBidi"/>
              <w:noProof/>
              <w:kern w:val="2"/>
              <w14:ligatures w14:val="standardContextual"/>
            </w:rPr>
          </w:pPr>
          <w:hyperlink w:anchor="_Toc221804605" w:history="1">
            <w:r w:rsidR="00E1792A">
              <w:rPr>
                <w:rStyle w:val="Hyperlink"/>
                <w:rFonts w:asciiTheme="majorBidi" w:hAnsiTheme="majorBidi" w:cstheme="majorBidi"/>
                <w:noProof/>
              </w:rPr>
              <w:t>7.3 Recommendations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_Toc221804605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361</w:t>
            </w:r>
            <w:r w:rsidR="00E1792A">
              <w:rPr>
                <w:rFonts w:asciiTheme="majorBidi" w:hAnsiTheme="majorBidi" w:cstheme="majorBidi"/>
                <w:noProof/>
                <w:webHidden/>
              </w:rPr>
              <w:fldChar w:fldCharType="end"/>
            </w:r>
          </w:hyperlink>
        </w:p>
        <w:p w14:paraId="5363E8FE" w14:textId="1CB772CB"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06" w:history="1">
            <w:r w:rsidR="00E1792A">
              <w:rPr>
                <w:rStyle w:val="Hyperlink"/>
                <w:rFonts w:asciiTheme="majorBidi" w:hAnsiTheme="majorBidi" w:cstheme="majorBidi"/>
                <w:noProof/>
                <w:sz w:val="24"/>
              </w:rPr>
              <w:t xml:space="preserve">7.2.2.1 Adequacy of the </w:t>
            </w:r>
            <w:r w:rsidR="00E1792A">
              <w:rPr>
                <w:rStyle w:val="Hyperlink"/>
                <w:rFonts w:asciiTheme="majorBidi" w:eastAsia="Times New Roman" w:hAnsiTheme="majorBidi" w:cstheme="majorBidi"/>
                <w:noProof/>
                <w:sz w:val="24"/>
              </w:rPr>
              <w:t>Current</w:t>
            </w:r>
            <w:r w:rsidR="00E1792A">
              <w:rPr>
                <w:rStyle w:val="Hyperlink"/>
                <w:rFonts w:asciiTheme="majorBidi" w:hAnsiTheme="majorBidi" w:cstheme="majorBidi"/>
                <w:noProof/>
                <w:sz w:val="24"/>
              </w:rPr>
              <w:t xml:space="preserve"> Legislative Framework</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_Toc221804606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362</w:t>
            </w:r>
            <w:r w:rsidR="00E1792A">
              <w:rPr>
                <w:rFonts w:asciiTheme="majorBidi" w:hAnsiTheme="majorBidi" w:cstheme="majorBidi"/>
                <w:noProof/>
                <w:webHidden/>
                <w:sz w:val="24"/>
              </w:rPr>
              <w:fldChar w:fldCharType="end"/>
            </w:r>
          </w:hyperlink>
        </w:p>
        <w:p w14:paraId="3AEE31AA" w14:textId="44BB9FB3"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07" w:history="1">
            <w:r w:rsidR="00E1792A">
              <w:rPr>
                <w:rStyle w:val="Hyperlink"/>
                <w:rFonts w:asciiTheme="majorBidi" w:hAnsiTheme="majorBidi" w:cstheme="majorBidi"/>
                <w:noProof/>
                <w:sz w:val="24"/>
              </w:rPr>
              <w:t>7.3.2 Adoption of Mandatory Data Protection and Cybersecurity Standards for Online Arbitration Platforms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_Toc221804607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362</w:t>
            </w:r>
            <w:r w:rsidR="00E1792A">
              <w:rPr>
                <w:rFonts w:asciiTheme="majorBidi" w:hAnsiTheme="majorBidi" w:cstheme="majorBidi"/>
                <w:noProof/>
                <w:webHidden/>
                <w:sz w:val="24"/>
              </w:rPr>
              <w:fldChar w:fldCharType="end"/>
            </w:r>
          </w:hyperlink>
        </w:p>
        <w:p w14:paraId="5EF414FB" w14:textId="6CEA7A94"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08" w:history="1">
            <w:r w:rsidR="00E1792A">
              <w:rPr>
                <w:rStyle w:val="Hyperlink"/>
                <w:rFonts w:asciiTheme="majorBidi" w:hAnsiTheme="majorBidi" w:cstheme="majorBidi"/>
                <w:noProof/>
                <w:sz w:val="24"/>
              </w:rPr>
              <w:t>7.3.3 Strengthening the Role of UAE Centres in Enforcing Privacy Regulations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_Toc221804608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363</w:t>
            </w:r>
            <w:r w:rsidR="00E1792A">
              <w:rPr>
                <w:rFonts w:asciiTheme="majorBidi" w:hAnsiTheme="majorBidi" w:cstheme="majorBidi"/>
                <w:noProof/>
                <w:webHidden/>
                <w:sz w:val="24"/>
              </w:rPr>
              <w:fldChar w:fldCharType="end"/>
            </w:r>
          </w:hyperlink>
        </w:p>
        <w:p w14:paraId="54D5D34C" w14:textId="7A6D76D3"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09" w:history="1">
            <w:r w:rsidR="00E1792A">
              <w:rPr>
                <w:rStyle w:val="Hyperlink"/>
                <w:rFonts w:asciiTheme="majorBidi" w:hAnsiTheme="majorBidi" w:cstheme="majorBidi"/>
                <w:noProof/>
                <w:sz w:val="24"/>
              </w:rPr>
              <w:t>7.3.4 Legal Recognition of Blockchain-Based Evidence Storage in Online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_Toc221804609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364</w:t>
            </w:r>
            <w:r w:rsidR="00E1792A">
              <w:rPr>
                <w:rFonts w:asciiTheme="majorBidi" w:hAnsiTheme="majorBidi" w:cstheme="majorBidi"/>
                <w:noProof/>
                <w:webHidden/>
                <w:sz w:val="24"/>
              </w:rPr>
              <w:fldChar w:fldCharType="end"/>
            </w:r>
          </w:hyperlink>
        </w:p>
        <w:p w14:paraId="2A17FCF4" w14:textId="54746E9E"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10" w:history="1">
            <w:r w:rsidR="00E1792A">
              <w:rPr>
                <w:rStyle w:val="Hyperlink"/>
                <w:rFonts w:asciiTheme="majorBidi" w:hAnsiTheme="majorBidi" w:cstheme="majorBidi"/>
                <w:noProof/>
                <w:sz w:val="24"/>
              </w:rPr>
              <w:t>7.3.5 Development of Privacy Regulations for AI-Driven Arbitration</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_Toc221804610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365</w:t>
            </w:r>
            <w:r w:rsidR="00E1792A">
              <w:rPr>
                <w:rFonts w:asciiTheme="majorBidi" w:hAnsiTheme="majorBidi" w:cstheme="majorBidi"/>
                <w:noProof/>
                <w:webHidden/>
                <w:sz w:val="24"/>
              </w:rPr>
              <w:fldChar w:fldCharType="end"/>
            </w:r>
          </w:hyperlink>
        </w:p>
        <w:p w14:paraId="754FD728" w14:textId="11C487E1"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11" w:history="1">
            <w:r w:rsidR="00E1792A">
              <w:rPr>
                <w:rStyle w:val="Hyperlink"/>
                <w:rFonts w:asciiTheme="majorBidi" w:hAnsiTheme="majorBidi" w:cstheme="majorBidi"/>
                <w:noProof/>
                <w:sz w:val="24"/>
              </w:rPr>
              <w:t>7.3.6 Cross-Border Data Protection and Enforcement Mechanisms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_Toc221804611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365</w:t>
            </w:r>
            <w:r w:rsidR="00E1792A">
              <w:rPr>
                <w:rFonts w:asciiTheme="majorBidi" w:hAnsiTheme="majorBidi" w:cstheme="majorBidi"/>
                <w:noProof/>
                <w:webHidden/>
                <w:sz w:val="24"/>
              </w:rPr>
              <w:fldChar w:fldCharType="end"/>
            </w:r>
          </w:hyperlink>
        </w:p>
        <w:p w14:paraId="12FE146B" w14:textId="3B9D8C78" w:rsidR="008819FD" w:rsidRPr="008819FD" w:rsidRDefault="004A062E">
          <w:pPr>
            <w:pStyle w:val="TOC3"/>
            <w:rPr>
              <w:rFonts w:asciiTheme="majorBidi" w:eastAsiaTheme="minorEastAsia" w:hAnsiTheme="majorBidi" w:cstheme="majorBidi"/>
              <w:noProof/>
              <w:kern w:val="2"/>
              <w:sz w:val="24"/>
              <w14:ligatures w14:val="standardContextual"/>
            </w:rPr>
          </w:pPr>
          <w:hyperlink w:anchor="_Toc221804612" w:history="1">
            <w:r w:rsidR="00E1792A">
              <w:rPr>
                <w:rStyle w:val="Hyperlink"/>
                <w:rFonts w:asciiTheme="majorBidi" w:hAnsiTheme="majorBidi" w:cstheme="majorBidi"/>
                <w:noProof/>
                <w:sz w:val="24"/>
              </w:rPr>
              <w:t>7.3.7 Creation of a National Regulatory Body for Online Arbitration Privacy Compliance</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_Toc221804612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366</w:t>
            </w:r>
            <w:r w:rsidR="00E1792A">
              <w:rPr>
                <w:rFonts w:asciiTheme="majorBidi" w:hAnsiTheme="majorBidi" w:cstheme="majorBidi"/>
                <w:noProof/>
                <w:webHidden/>
                <w:sz w:val="24"/>
              </w:rPr>
              <w:fldChar w:fldCharType="end"/>
            </w:r>
          </w:hyperlink>
        </w:p>
        <w:p w14:paraId="3861FC27" w14:textId="2622A73F" w:rsidR="008819FD" w:rsidRPr="008819FD" w:rsidRDefault="004A062E">
          <w:pPr>
            <w:pStyle w:val="TOC2"/>
            <w:rPr>
              <w:rFonts w:asciiTheme="majorBidi" w:eastAsiaTheme="minorEastAsia" w:hAnsiTheme="majorBidi" w:cstheme="majorBidi"/>
              <w:noProof/>
              <w:kern w:val="2"/>
              <w14:ligatures w14:val="standardContextual"/>
            </w:rPr>
          </w:pPr>
          <w:hyperlink w:anchor="_Toc221804613" w:history="1">
            <w:r w:rsidR="00E1792A">
              <w:rPr>
                <w:rStyle w:val="Hyperlink"/>
                <w:rFonts w:asciiTheme="majorBidi" w:hAnsiTheme="majorBidi" w:cstheme="majorBidi"/>
                <w:noProof/>
              </w:rPr>
              <w:t>7.4 Contribution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_Toc221804613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366</w:t>
            </w:r>
            <w:r w:rsidR="00E1792A">
              <w:rPr>
                <w:rFonts w:asciiTheme="majorBidi" w:hAnsiTheme="majorBidi" w:cstheme="majorBidi"/>
                <w:noProof/>
                <w:webHidden/>
              </w:rPr>
              <w:fldChar w:fldCharType="end"/>
            </w:r>
          </w:hyperlink>
        </w:p>
        <w:p w14:paraId="22132F40" w14:textId="1A76D296" w:rsidR="008819FD" w:rsidRPr="008819FD" w:rsidRDefault="004A062E">
          <w:pPr>
            <w:pStyle w:val="TOC2"/>
            <w:rPr>
              <w:rFonts w:asciiTheme="majorBidi" w:eastAsiaTheme="minorEastAsia" w:hAnsiTheme="majorBidi" w:cstheme="majorBidi"/>
              <w:noProof/>
              <w:kern w:val="2"/>
              <w14:ligatures w14:val="standardContextual"/>
            </w:rPr>
          </w:pPr>
          <w:hyperlink w:anchor="_Toc221804614" w:history="1">
            <w:r w:rsidR="00E1792A">
              <w:rPr>
                <w:rStyle w:val="Hyperlink"/>
                <w:rFonts w:asciiTheme="majorBidi" w:hAnsiTheme="majorBidi" w:cstheme="majorBidi"/>
                <w:noProof/>
              </w:rPr>
              <w:t>7.5 Linking with objectives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_Toc221804614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368</w:t>
            </w:r>
            <w:r w:rsidR="00E1792A">
              <w:rPr>
                <w:rFonts w:asciiTheme="majorBidi" w:hAnsiTheme="majorBidi" w:cstheme="majorBidi"/>
                <w:noProof/>
                <w:webHidden/>
              </w:rPr>
              <w:fldChar w:fldCharType="end"/>
            </w:r>
          </w:hyperlink>
        </w:p>
        <w:p w14:paraId="55085DE0" w14:textId="5B798EE5" w:rsidR="008819FD" w:rsidRPr="008819FD" w:rsidRDefault="004A062E">
          <w:pPr>
            <w:pStyle w:val="TOC2"/>
            <w:rPr>
              <w:rFonts w:asciiTheme="majorBidi" w:eastAsiaTheme="minorEastAsia" w:hAnsiTheme="majorBidi" w:cstheme="majorBidi"/>
              <w:noProof/>
              <w:kern w:val="2"/>
              <w14:ligatures w14:val="standardContextual"/>
            </w:rPr>
          </w:pPr>
          <w:hyperlink w:anchor="_Toc221804615" w:history="1">
            <w:r w:rsidR="00E1792A">
              <w:rPr>
                <w:rStyle w:val="Hyperlink"/>
                <w:rFonts w:asciiTheme="majorBidi" w:hAnsiTheme="majorBidi" w:cstheme="majorBidi"/>
                <w:noProof/>
              </w:rPr>
              <w:t>7.6 Limitation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_Toc221804615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369</w:t>
            </w:r>
            <w:r w:rsidR="00E1792A">
              <w:rPr>
                <w:rFonts w:asciiTheme="majorBidi" w:hAnsiTheme="majorBidi" w:cstheme="majorBidi"/>
                <w:noProof/>
                <w:webHidden/>
              </w:rPr>
              <w:fldChar w:fldCharType="end"/>
            </w:r>
          </w:hyperlink>
        </w:p>
        <w:p w14:paraId="3D0639FC" w14:textId="616BCF31" w:rsidR="008819FD" w:rsidRPr="008819FD" w:rsidRDefault="004A062E">
          <w:pPr>
            <w:pStyle w:val="TOC2"/>
            <w:rPr>
              <w:rFonts w:asciiTheme="majorBidi" w:eastAsiaTheme="minorEastAsia" w:hAnsiTheme="majorBidi" w:cstheme="majorBidi"/>
              <w:noProof/>
              <w:kern w:val="2"/>
              <w14:ligatures w14:val="standardContextual"/>
            </w:rPr>
          </w:pPr>
          <w:hyperlink w:anchor="_Toc221804616" w:history="1">
            <w:r w:rsidR="00E1792A">
              <w:rPr>
                <w:rStyle w:val="Hyperlink"/>
                <w:rFonts w:asciiTheme="majorBidi" w:hAnsiTheme="majorBidi" w:cstheme="majorBidi"/>
                <w:noProof/>
              </w:rPr>
              <w:t>7.7 Scope of Future Research</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_Toc221804616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370</w:t>
            </w:r>
            <w:r w:rsidR="00E1792A">
              <w:rPr>
                <w:rFonts w:asciiTheme="majorBidi" w:hAnsiTheme="majorBidi" w:cstheme="majorBidi"/>
                <w:noProof/>
                <w:webHidden/>
              </w:rPr>
              <w:fldChar w:fldCharType="end"/>
            </w:r>
          </w:hyperlink>
        </w:p>
        <w:p w14:paraId="32EB49B2" w14:textId="7FF86922" w:rsidR="008819FD" w:rsidRPr="008819FD" w:rsidRDefault="004A062E">
          <w:pPr>
            <w:pStyle w:val="TOC2"/>
            <w:rPr>
              <w:rFonts w:asciiTheme="majorBidi" w:eastAsiaTheme="minorEastAsia" w:hAnsiTheme="majorBidi" w:cstheme="majorBidi"/>
              <w:noProof/>
              <w:kern w:val="2"/>
              <w14:ligatures w14:val="standardContextual"/>
            </w:rPr>
          </w:pPr>
          <w:hyperlink w:anchor="_Toc221804617" w:history="1">
            <w:r w:rsidR="00E1792A">
              <w:rPr>
                <w:rStyle w:val="Hyperlink"/>
                <w:rFonts w:asciiTheme="majorBidi" w:hAnsiTheme="majorBidi" w:cstheme="majorBidi"/>
                <w:noProof/>
                <w:lang w:bidi="en-US"/>
              </w:rPr>
              <w:t>7.8 Calculation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_Toc221804617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370</w:t>
            </w:r>
            <w:r w:rsidR="00E1792A">
              <w:rPr>
                <w:rFonts w:asciiTheme="majorBidi" w:hAnsiTheme="majorBidi" w:cstheme="majorBidi"/>
                <w:noProof/>
                <w:webHidden/>
              </w:rPr>
              <w:fldChar w:fldCharType="end"/>
            </w:r>
          </w:hyperlink>
        </w:p>
        <w:p w14:paraId="077700A4" w14:textId="77E6317D" w:rsidR="008819FD" w:rsidRPr="008819FD" w:rsidRDefault="004A062E">
          <w:pPr>
            <w:pStyle w:val="TOC1"/>
            <w:rPr>
              <w:rFonts w:asciiTheme="majorBidi" w:eastAsiaTheme="minorEastAsia" w:hAnsiTheme="majorBidi" w:cstheme="majorBidi"/>
              <w:b w:val="0"/>
              <w:noProof/>
              <w:kern w:val="2"/>
              <w:sz w:val="24"/>
              <w14:ligatures w14:val="standardContextual"/>
            </w:rPr>
          </w:pPr>
          <w:hyperlink w:anchor="_Toc221804618" w:history="1">
            <w:r w:rsidR="00E1792A">
              <w:rPr>
                <w:rStyle w:val="Hyperlink"/>
                <w:rFonts w:asciiTheme="majorBidi" w:hAnsiTheme="majorBidi" w:cstheme="majorBidi"/>
                <w:noProof/>
                <w:sz w:val="24"/>
                <w:lang w:bidi="en-US"/>
              </w:rPr>
              <w:t>References :</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_Toc221804618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371</w:t>
            </w:r>
            <w:r w:rsidR="00E1792A">
              <w:rPr>
                <w:rFonts w:asciiTheme="majorBidi" w:hAnsiTheme="majorBidi" w:cstheme="majorBidi"/>
                <w:noProof/>
                <w:webHidden/>
                <w:sz w:val="24"/>
              </w:rPr>
              <w:fldChar w:fldCharType="end"/>
            </w:r>
          </w:hyperlink>
        </w:p>
        <w:p w14:paraId="7B605849" w14:textId="5505773A" w:rsidR="008819FD" w:rsidRPr="008819FD" w:rsidRDefault="004A062E">
          <w:pPr>
            <w:pStyle w:val="TOC1"/>
            <w:rPr>
              <w:rFonts w:asciiTheme="majorBidi" w:eastAsiaTheme="minorEastAsia" w:hAnsiTheme="majorBidi" w:cstheme="majorBidi"/>
              <w:b w:val="0"/>
              <w:noProof/>
              <w:kern w:val="2"/>
              <w:sz w:val="24"/>
              <w14:ligatures w14:val="standardContextual"/>
            </w:rPr>
          </w:pPr>
          <w:hyperlink w:anchor="_Toc221804656" w:history="1">
            <w:r w:rsidR="00E1792A">
              <w:rPr>
                <w:rStyle w:val="Hyperlink"/>
                <w:rFonts w:asciiTheme="majorBidi" w:hAnsiTheme="majorBidi" w:cstheme="majorBidi"/>
                <w:noProof/>
                <w:sz w:val="24"/>
              </w:rPr>
              <w:t>Appendices</w:t>
            </w:r>
            <w:r w:rsidR="00E1792A">
              <w:rPr>
                <w:rFonts w:asciiTheme="majorBidi" w:hAnsiTheme="majorBidi" w:cstheme="majorBidi"/>
                <w:noProof/>
                <w:webHidden/>
                <w:sz w:val="24"/>
              </w:rPr>
              <w:tab/>
            </w:r>
            <w:r w:rsidR="00E1792A">
              <w:rPr>
                <w:rFonts w:asciiTheme="majorBidi" w:hAnsiTheme="majorBidi" w:cstheme="majorBidi"/>
                <w:noProof/>
                <w:webHidden/>
                <w:sz w:val="24"/>
              </w:rPr>
              <w:fldChar w:fldCharType="begin"/>
            </w:r>
            <w:r w:rsidR="00E1792A">
              <w:rPr>
                <w:rFonts w:asciiTheme="majorBidi" w:hAnsiTheme="majorBidi" w:cstheme="majorBidi"/>
                <w:noProof/>
                <w:webHidden/>
                <w:sz w:val="24"/>
              </w:rPr>
              <w:instrText xml:space="preserve"> PAGEREF _Toc221804656 \h </w:instrText>
            </w:r>
            <w:r w:rsidR="00E1792A">
              <w:rPr>
                <w:rFonts w:asciiTheme="majorBidi" w:hAnsiTheme="majorBidi" w:cstheme="majorBidi"/>
                <w:noProof/>
                <w:webHidden/>
                <w:sz w:val="24"/>
              </w:rPr>
            </w:r>
            <w:r w:rsidR="00E1792A">
              <w:rPr>
                <w:rFonts w:asciiTheme="majorBidi" w:hAnsiTheme="majorBidi" w:cstheme="majorBidi"/>
                <w:noProof/>
                <w:webHidden/>
                <w:sz w:val="24"/>
              </w:rPr>
              <w:fldChar w:fldCharType="separate"/>
            </w:r>
            <w:r w:rsidR="00B55114">
              <w:rPr>
                <w:rFonts w:asciiTheme="majorBidi" w:hAnsiTheme="majorBidi" w:cstheme="majorBidi"/>
                <w:noProof/>
                <w:webHidden/>
                <w:sz w:val="24"/>
              </w:rPr>
              <w:t>375</w:t>
            </w:r>
            <w:r w:rsidR="00E1792A">
              <w:rPr>
                <w:rFonts w:asciiTheme="majorBidi" w:hAnsiTheme="majorBidi" w:cstheme="majorBidi"/>
                <w:noProof/>
                <w:webHidden/>
                <w:sz w:val="24"/>
              </w:rPr>
              <w:fldChar w:fldCharType="end"/>
            </w:r>
          </w:hyperlink>
        </w:p>
        <w:p w14:paraId="3A27D803" w14:textId="4DBBDEC9" w:rsidR="008819FD" w:rsidRPr="008819FD" w:rsidRDefault="004A062E">
          <w:pPr>
            <w:pStyle w:val="TOC2"/>
            <w:rPr>
              <w:rFonts w:asciiTheme="majorBidi" w:eastAsiaTheme="minorEastAsia" w:hAnsiTheme="majorBidi" w:cstheme="majorBidi"/>
              <w:noProof/>
              <w:kern w:val="2"/>
              <w14:ligatures w14:val="standardContextual"/>
            </w:rPr>
          </w:pPr>
          <w:hyperlink w:anchor="_Toc221804657" w:history="1">
            <w:r w:rsidR="00E1792A">
              <w:rPr>
                <w:rStyle w:val="Hyperlink"/>
                <w:rFonts w:asciiTheme="majorBidi" w:hAnsiTheme="majorBidi" w:cstheme="majorBidi"/>
                <w:noProof/>
              </w:rPr>
              <w:t xml:space="preserve">Appendix </w:t>
            </w:r>
            <w:r w:rsidR="00E1792A">
              <w:rPr>
                <w:rStyle w:val="Hyperlink"/>
                <w:rFonts w:asciiTheme="majorBidi" w:hAnsiTheme="majorBidi" w:cstheme="majorBidi"/>
                <w:bCs/>
                <w:noProof/>
                <w:lang w:val="en" w:bidi="ar-AE"/>
              </w:rPr>
              <w:t>Interview</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_Toc221804657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375</w:t>
            </w:r>
            <w:r w:rsidR="00E1792A">
              <w:rPr>
                <w:rFonts w:asciiTheme="majorBidi" w:hAnsiTheme="majorBidi" w:cstheme="majorBidi"/>
                <w:noProof/>
                <w:webHidden/>
              </w:rPr>
              <w:fldChar w:fldCharType="end"/>
            </w:r>
          </w:hyperlink>
        </w:p>
        <w:p w14:paraId="2596CFB8" w14:textId="3B5EA261" w:rsidR="008819FD" w:rsidRPr="008819FD" w:rsidRDefault="00F5354A" w:rsidP="00F5354A">
          <w:pPr>
            <w:pStyle w:val="TOC2"/>
            <w:rPr>
              <w:rFonts w:asciiTheme="majorBidi" w:eastAsiaTheme="minorEastAsia" w:hAnsiTheme="majorBidi" w:cstheme="majorBidi"/>
              <w:noProof/>
              <w:kern w:val="2"/>
              <w14:ligatures w14:val="standardContextual"/>
            </w:rPr>
          </w:pPr>
          <w:r>
            <w:rPr>
              <w:rFonts w:asciiTheme="majorBidi" w:hAnsiTheme="majorBidi" w:cstheme="majorBidi"/>
              <w:noProof/>
            </w:rPr>
            <w:t xml:space="preserve">Appendix Survay </w:t>
          </w:r>
          <w:hyperlink w:anchor="_Toc221804658" w:history="1">
            <w:r>
              <w:rPr>
                <w:rFonts w:asciiTheme="majorBidi" w:hAnsiTheme="majorBidi" w:cstheme="majorBidi"/>
                <w:noProof/>
                <w:webHidden/>
              </w:rPr>
              <w:tab/>
            </w:r>
            <w:r>
              <w:rPr>
                <w:rFonts w:asciiTheme="majorBidi" w:hAnsiTheme="majorBidi" w:cstheme="majorBidi"/>
                <w:noProof/>
                <w:webHidden/>
              </w:rPr>
              <w:fldChar w:fldCharType="begin"/>
            </w:r>
            <w:r>
              <w:rPr>
                <w:rFonts w:asciiTheme="majorBidi" w:hAnsiTheme="majorBidi" w:cstheme="majorBidi"/>
                <w:noProof/>
                <w:webHidden/>
              </w:rPr>
              <w:instrText xml:space="preserve"> PAGEREF _Toc221804658 \h </w:instrText>
            </w:r>
            <w:r>
              <w:rPr>
                <w:rFonts w:asciiTheme="majorBidi" w:hAnsiTheme="majorBidi" w:cstheme="majorBidi"/>
                <w:noProof/>
                <w:webHidden/>
              </w:rPr>
            </w:r>
            <w:r>
              <w:rPr>
                <w:rFonts w:asciiTheme="majorBidi" w:hAnsiTheme="majorBidi" w:cstheme="majorBidi"/>
                <w:noProof/>
                <w:webHidden/>
              </w:rPr>
              <w:fldChar w:fldCharType="separate"/>
            </w:r>
            <w:r w:rsidR="00B55114">
              <w:rPr>
                <w:rFonts w:asciiTheme="majorBidi" w:hAnsiTheme="majorBidi" w:cstheme="majorBidi"/>
                <w:noProof/>
                <w:webHidden/>
              </w:rPr>
              <w:t>381</w:t>
            </w:r>
            <w:r>
              <w:rPr>
                <w:rFonts w:asciiTheme="majorBidi" w:hAnsiTheme="majorBidi" w:cstheme="majorBidi"/>
                <w:noProof/>
                <w:webHidden/>
              </w:rPr>
              <w:fldChar w:fldCharType="end"/>
            </w:r>
          </w:hyperlink>
        </w:p>
        <w:p w14:paraId="25AB9D83" w14:textId="5B9E650C" w:rsidR="00F073C0" w:rsidRPr="008819FD" w:rsidRDefault="00F073C0" w:rsidP="00F5354A">
          <w:pPr>
            <w:pStyle w:val="TOC2"/>
            <w:rPr>
              <w:rFonts w:asciiTheme="majorBidi" w:hAnsiTheme="majorBidi" w:cstheme="majorBidi"/>
            </w:rPr>
          </w:pPr>
          <w:r>
            <w:rPr>
              <w:rFonts w:asciiTheme="majorBidi" w:hAnsiTheme="majorBidi" w:cstheme="majorBidi"/>
            </w:rPr>
            <w:fldChar w:fldCharType="end"/>
          </w:r>
        </w:p>
      </w:sdtContent>
    </w:sdt>
    <w:p w14:paraId="43C671FF" w14:textId="77777777" w:rsidR="00F073C0" w:rsidRPr="008819FD" w:rsidRDefault="00F073C0" w:rsidP="00F073C0">
      <w:pPr>
        <w:spacing w:before="0" w:after="160" w:line="259" w:lineRule="auto"/>
        <w:rPr>
          <w:rFonts w:asciiTheme="majorBidi" w:hAnsiTheme="majorBidi" w:cstheme="majorBidi"/>
          <w:b/>
        </w:rPr>
      </w:pPr>
    </w:p>
    <w:p w14:paraId="2F102173" w14:textId="77777777" w:rsidR="00F073C0" w:rsidRPr="008819FD" w:rsidRDefault="00F073C0" w:rsidP="00EF5F10">
      <w:pPr>
        <w:jc w:val="center"/>
        <w:rPr>
          <w:rFonts w:asciiTheme="majorBidi" w:hAnsiTheme="majorBidi" w:cstheme="majorBidi"/>
          <w:b/>
        </w:rPr>
      </w:pPr>
      <w:r>
        <w:rPr>
          <w:rFonts w:asciiTheme="majorBidi" w:hAnsiTheme="majorBidi" w:cstheme="majorBidi"/>
          <w:b/>
        </w:rPr>
        <w:t>List  of Tables</w:t>
      </w:r>
    </w:p>
    <w:p w14:paraId="18DFFC24" w14:textId="4A3E92FD" w:rsidR="00F073C0" w:rsidRPr="008819FD" w:rsidRDefault="00F073C0" w:rsidP="0099552A">
      <w:pPr>
        <w:pStyle w:val="TableofFigures"/>
        <w:tabs>
          <w:tab w:val="right" w:leader="dot" w:pos="9111"/>
        </w:tabs>
        <w:jc w:val="left"/>
        <w:rPr>
          <w:rFonts w:asciiTheme="majorBidi" w:eastAsiaTheme="minorEastAsia" w:hAnsiTheme="majorBidi" w:cstheme="majorBidi"/>
          <w:noProof/>
          <w:kern w:val="2"/>
          <w14:ligatures w14:val="standardContextual"/>
        </w:rPr>
      </w:pPr>
      <w:r>
        <w:rPr>
          <w:rFonts w:asciiTheme="majorBidi" w:hAnsiTheme="majorBidi" w:cstheme="majorBidi"/>
          <w:b/>
        </w:rPr>
        <w:fldChar w:fldCharType="begin"/>
      </w:r>
      <w:r>
        <w:rPr>
          <w:rFonts w:asciiTheme="majorBidi" w:hAnsiTheme="majorBidi" w:cstheme="majorBidi"/>
          <w:b/>
        </w:rPr>
        <w:instrText xml:space="preserve"> TOC \h \z \c "Table" </w:instrText>
      </w:r>
      <w:r>
        <w:rPr>
          <w:rFonts w:asciiTheme="majorBidi" w:hAnsiTheme="majorBidi" w:cstheme="majorBidi"/>
          <w:b/>
        </w:rPr>
        <w:fldChar w:fldCharType="separate"/>
      </w:r>
      <w:hyperlink w:anchor="_Toc219753434" w:history="1">
        <w:r>
          <w:rPr>
            <w:rStyle w:val="Hyperlink"/>
            <w:rFonts w:asciiTheme="majorBidi" w:hAnsiTheme="majorBidi" w:cstheme="majorBidi"/>
            <w:b/>
            <w:noProof/>
          </w:rPr>
          <w:t>Table 1:</w:t>
        </w:r>
        <w:r>
          <w:rPr>
            <w:rStyle w:val="Hyperlink"/>
            <w:rFonts w:asciiTheme="majorBidi" w:hAnsiTheme="majorBidi" w:cstheme="majorBidi"/>
            <w:noProof/>
          </w:rPr>
          <w:t xml:space="preserve"> Demographic Profile of Survey Participants</w:t>
        </w:r>
        <w:r>
          <w:rPr>
            <w:rFonts w:asciiTheme="majorBidi" w:hAnsiTheme="majorBidi" w:cstheme="majorBidi"/>
            <w:noProof/>
            <w:webHidden/>
          </w:rPr>
          <w:tab/>
        </w:r>
        <w:r>
          <w:rPr>
            <w:rFonts w:asciiTheme="majorBidi" w:hAnsiTheme="majorBidi" w:cstheme="majorBidi"/>
            <w:noProof/>
            <w:webHidden/>
          </w:rPr>
          <w:fldChar w:fldCharType="begin"/>
        </w:r>
        <w:r>
          <w:rPr>
            <w:rFonts w:asciiTheme="majorBidi" w:hAnsiTheme="majorBidi" w:cstheme="majorBidi"/>
            <w:noProof/>
            <w:webHidden/>
          </w:rPr>
          <w:instrText xml:space="preserve"> PAGEREF _Toc219753434 \h </w:instrText>
        </w:r>
        <w:r>
          <w:rPr>
            <w:rFonts w:asciiTheme="majorBidi" w:hAnsiTheme="majorBidi" w:cstheme="majorBidi"/>
            <w:noProof/>
            <w:webHidden/>
          </w:rPr>
        </w:r>
        <w:r>
          <w:rPr>
            <w:rFonts w:asciiTheme="majorBidi" w:hAnsiTheme="majorBidi" w:cstheme="majorBidi"/>
            <w:noProof/>
            <w:webHidden/>
          </w:rPr>
          <w:fldChar w:fldCharType="separate"/>
        </w:r>
        <w:r w:rsidR="00B55114">
          <w:rPr>
            <w:rFonts w:asciiTheme="majorBidi" w:hAnsiTheme="majorBidi" w:cstheme="majorBidi"/>
            <w:noProof/>
            <w:webHidden/>
          </w:rPr>
          <w:t>253</w:t>
        </w:r>
        <w:r>
          <w:rPr>
            <w:rFonts w:asciiTheme="majorBidi" w:hAnsiTheme="majorBidi" w:cstheme="majorBidi"/>
            <w:noProof/>
            <w:webHidden/>
          </w:rPr>
          <w:fldChar w:fldCharType="end"/>
        </w:r>
      </w:hyperlink>
    </w:p>
    <w:p w14:paraId="63D8AFDE" w14:textId="5D99D8D6"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35" w:history="1">
        <w:r w:rsidR="00E1792A">
          <w:rPr>
            <w:rStyle w:val="Hyperlink"/>
            <w:rFonts w:asciiTheme="majorBidi" w:hAnsiTheme="majorBidi" w:cstheme="majorBidi"/>
            <w:b/>
            <w:noProof/>
          </w:rPr>
          <w:t>Table 2:</w:t>
        </w:r>
        <w:r w:rsidR="00E1792A">
          <w:rPr>
            <w:rStyle w:val="Hyperlink"/>
            <w:rFonts w:asciiTheme="majorBidi" w:hAnsiTheme="majorBidi" w:cstheme="majorBidi"/>
            <w:noProof/>
          </w:rPr>
          <w:t xml:space="preserve"> Age Distribution of Respondents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_Toc219753435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259</w:t>
        </w:r>
        <w:r w:rsidR="00E1792A">
          <w:rPr>
            <w:rFonts w:asciiTheme="majorBidi" w:hAnsiTheme="majorBidi" w:cstheme="majorBidi"/>
            <w:noProof/>
            <w:webHidden/>
          </w:rPr>
          <w:fldChar w:fldCharType="end"/>
        </w:r>
      </w:hyperlink>
    </w:p>
    <w:p w14:paraId="0ADFB9BC" w14:textId="72207D47"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36" w:history="1">
        <w:r w:rsidR="00E1792A">
          <w:rPr>
            <w:rStyle w:val="Hyperlink"/>
            <w:rFonts w:asciiTheme="majorBidi" w:hAnsiTheme="majorBidi" w:cstheme="majorBidi"/>
            <w:b/>
            <w:noProof/>
          </w:rPr>
          <w:t>Table 3:</w:t>
        </w:r>
        <w:r w:rsidR="00E1792A">
          <w:rPr>
            <w:rStyle w:val="Hyperlink"/>
            <w:rFonts w:asciiTheme="majorBidi" w:hAnsiTheme="majorBidi" w:cstheme="majorBidi"/>
            <w:noProof/>
          </w:rPr>
          <w:t xml:space="preserve"> Gender Breakdown of Participants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_Toc219753436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266</w:t>
        </w:r>
        <w:r w:rsidR="00E1792A">
          <w:rPr>
            <w:rFonts w:asciiTheme="majorBidi" w:hAnsiTheme="majorBidi" w:cstheme="majorBidi"/>
            <w:noProof/>
            <w:webHidden/>
          </w:rPr>
          <w:fldChar w:fldCharType="end"/>
        </w:r>
      </w:hyperlink>
    </w:p>
    <w:p w14:paraId="43E50BDB" w14:textId="63731071"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37" w:history="1">
        <w:r w:rsidR="00E1792A">
          <w:rPr>
            <w:rStyle w:val="Hyperlink"/>
            <w:rFonts w:asciiTheme="majorBidi" w:hAnsiTheme="majorBidi" w:cstheme="majorBidi"/>
            <w:b/>
            <w:noProof/>
          </w:rPr>
          <w:t>Table 4:</w:t>
        </w:r>
        <w:r w:rsidR="00E1792A">
          <w:rPr>
            <w:rStyle w:val="Hyperlink"/>
            <w:rFonts w:asciiTheme="majorBidi" w:hAnsiTheme="majorBidi" w:cstheme="majorBidi"/>
            <w:noProof/>
          </w:rPr>
          <w:t xml:space="preserve"> Years of Professional Experience in Arbitration Practice</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_Toc219753437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273</w:t>
        </w:r>
        <w:r w:rsidR="00E1792A">
          <w:rPr>
            <w:rFonts w:asciiTheme="majorBidi" w:hAnsiTheme="majorBidi" w:cstheme="majorBidi"/>
            <w:noProof/>
            <w:webHidden/>
          </w:rPr>
          <w:fldChar w:fldCharType="end"/>
        </w:r>
      </w:hyperlink>
    </w:p>
    <w:p w14:paraId="4504B0FE" w14:textId="504A9E6F"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38" w:history="1">
        <w:r w:rsidR="00E1792A">
          <w:rPr>
            <w:rStyle w:val="Hyperlink"/>
            <w:rFonts w:asciiTheme="majorBidi" w:hAnsiTheme="majorBidi" w:cstheme="majorBidi"/>
            <w:b/>
            <w:noProof/>
          </w:rPr>
          <w:t>Table 5:</w:t>
        </w:r>
        <w:r w:rsidR="00E1792A">
          <w:rPr>
            <w:rStyle w:val="Hyperlink"/>
            <w:rFonts w:asciiTheme="majorBidi" w:hAnsiTheme="majorBidi" w:cstheme="majorBidi"/>
            <w:noProof/>
          </w:rPr>
          <w:t xml:space="preserve"> Level of Engagement in Online Arbitration Proceedings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_Toc219753438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279</w:t>
        </w:r>
        <w:r w:rsidR="00E1792A">
          <w:rPr>
            <w:rFonts w:asciiTheme="majorBidi" w:hAnsiTheme="majorBidi" w:cstheme="majorBidi"/>
            <w:noProof/>
            <w:webHidden/>
          </w:rPr>
          <w:fldChar w:fldCharType="end"/>
        </w:r>
      </w:hyperlink>
    </w:p>
    <w:p w14:paraId="6006D158" w14:textId="59ACEAEE"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39" w:history="1">
        <w:r w:rsidR="00E1792A">
          <w:rPr>
            <w:rStyle w:val="Hyperlink"/>
            <w:rFonts w:asciiTheme="majorBidi" w:hAnsiTheme="majorBidi" w:cstheme="majorBidi"/>
            <w:b/>
            <w:noProof/>
          </w:rPr>
          <w:t>Table 6:</w:t>
        </w:r>
        <w:r w:rsidR="00E1792A">
          <w:rPr>
            <w:rStyle w:val="Hyperlink"/>
            <w:rFonts w:asciiTheme="majorBidi" w:hAnsiTheme="majorBidi" w:cstheme="majorBidi"/>
            <w:noProof/>
          </w:rPr>
          <w:t xml:space="preserve"> Perceptions of Procedural Efficiency in Online Arbitration</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_Toc219753439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283</w:t>
        </w:r>
        <w:r w:rsidR="00E1792A">
          <w:rPr>
            <w:rFonts w:asciiTheme="majorBidi" w:hAnsiTheme="majorBidi" w:cstheme="majorBidi"/>
            <w:noProof/>
            <w:webHidden/>
          </w:rPr>
          <w:fldChar w:fldCharType="end"/>
        </w:r>
      </w:hyperlink>
    </w:p>
    <w:p w14:paraId="009A0B58" w14:textId="77777777" w:rsidR="00F073C0" w:rsidRPr="008819FD" w:rsidRDefault="00CC217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40" w:history="1">
        <w:r w:rsidR="00E1792A">
          <w:rPr>
            <w:rStyle w:val="Hyperlink"/>
            <w:rFonts w:asciiTheme="majorBidi" w:hAnsiTheme="majorBidi" w:cstheme="majorBidi"/>
            <w:b/>
            <w:noProof/>
          </w:rPr>
          <w:t>Table 7:</w:t>
        </w:r>
        <w:r w:rsidR="00E1792A">
          <w:rPr>
            <w:rStyle w:val="Hyperlink"/>
            <w:rFonts w:asciiTheme="majorBidi" w:hAnsiTheme="majorBidi" w:cstheme="majorBidi"/>
            <w:noProof/>
          </w:rPr>
          <w:t xml:space="preserve"> Participant Satisfaction with Online Arbitration Mechanisms</w:t>
        </w:r>
        <w:r w:rsidR="00E1792A">
          <w:rPr>
            <w:rFonts w:asciiTheme="majorBidi" w:hAnsiTheme="majorBidi" w:cstheme="majorBidi"/>
            <w:noProof/>
            <w:webHidden/>
          </w:rPr>
          <w:tab/>
          <w:t>275</w:t>
        </w:r>
      </w:hyperlink>
    </w:p>
    <w:p w14:paraId="30B1D170" w14:textId="77777777" w:rsidR="00F073C0" w:rsidRPr="008819FD" w:rsidRDefault="00CC217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41" w:history="1">
        <w:r w:rsidR="00E1792A">
          <w:rPr>
            <w:rStyle w:val="Hyperlink"/>
            <w:rFonts w:asciiTheme="majorBidi" w:hAnsiTheme="majorBidi" w:cstheme="majorBidi"/>
            <w:b/>
            <w:noProof/>
          </w:rPr>
          <w:t>Table 8:</w:t>
        </w:r>
        <w:r w:rsidR="00E1792A">
          <w:rPr>
            <w:rStyle w:val="Hyperlink"/>
            <w:rFonts w:asciiTheme="majorBidi" w:hAnsiTheme="majorBidi" w:cstheme="majorBidi"/>
            <w:noProof/>
          </w:rPr>
          <w:t xml:space="preserve"> Current Data Protection Measures Implemented in Online Arbitration</w:t>
        </w:r>
        <w:r w:rsidR="00E1792A">
          <w:rPr>
            <w:rFonts w:asciiTheme="majorBidi" w:hAnsiTheme="majorBidi" w:cstheme="majorBidi"/>
            <w:noProof/>
            <w:webHidden/>
          </w:rPr>
          <w:tab/>
          <w:t>279</w:t>
        </w:r>
      </w:hyperlink>
    </w:p>
    <w:p w14:paraId="30BC7E72" w14:textId="77777777" w:rsidR="00F073C0" w:rsidRPr="008819FD" w:rsidRDefault="00CC217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42" w:history="1">
        <w:r w:rsidR="00E1792A">
          <w:rPr>
            <w:rStyle w:val="Hyperlink"/>
            <w:rFonts w:asciiTheme="majorBidi" w:hAnsiTheme="majorBidi" w:cstheme="majorBidi"/>
            <w:b/>
            <w:noProof/>
          </w:rPr>
          <w:t>Table 9</w:t>
        </w:r>
        <w:r w:rsidR="00E1792A">
          <w:rPr>
            <w:rStyle w:val="Hyperlink"/>
            <w:rFonts w:asciiTheme="majorBidi" w:hAnsiTheme="majorBidi" w:cstheme="majorBidi"/>
            <w:noProof/>
          </w:rPr>
          <w:t>: Confidentiality Safeguards within the UAE Online Arbitration Framework</w:t>
        </w:r>
        <w:r w:rsidR="00E1792A">
          <w:rPr>
            <w:rFonts w:asciiTheme="majorBidi" w:hAnsiTheme="majorBidi" w:cstheme="majorBidi"/>
            <w:noProof/>
            <w:webHidden/>
          </w:rPr>
          <w:tab/>
          <w:t>283</w:t>
        </w:r>
      </w:hyperlink>
    </w:p>
    <w:p w14:paraId="4A4BA8B4" w14:textId="77777777" w:rsidR="00F073C0" w:rsidRPr="008819FD" w:rsidRDefault="00CC217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43" w:history="1">
        <w:r w:rsidR="00E1792A">
          <w:rPr>
            <w:rStyle w:val="Hyperlink"/>
            <w:rFonts w:asciiTheme="majorBidi" w:hAnsiTheme="majorBidi" w:cstheme="majorBidi"/>
            <w:b/>
            <w:noProof/>
          </w:rPr>
          <w:t>Table 10:</w:t>
        </w:r>
        <w:r w:rsidR="00E1792A">
          <w:rPr>
            <w:rStyle w:val="Hyperlink"/>
            <w:rFonts w:asciiTheme="majorBidi" w:hAnsiTheme="majorBidi" w:cstheme="majorBidi"/>
            <w:noProof/>
          </w:rPr>
          <w:t xml:space="preserve"> Evaluation of the Functionality of the UAE Online Arbitration System</w:t>
        </w:r>
        <w:r w:rsidR="00E1792A">
          <w:rPr>
            <w:rFonts w:asciiTheme="majorBidi" w:hAnsiTheme="majorBidi" w:cstheme="majorBidi"/>
            <w:noProof/>
            <w:webHidden/>
          </w:rPr>
          <w:tab/>
          <w:t>288</w:t>
        </w:r>
      </w:hyperlink>
    </w:p>
    <w:p w14:paraId="5393D5F2" w14:textId="77777777" w:rsidR="00F073C0" w:rsidRPr="008819FD" w:rsidRDefault="00CC217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44" w:history="1">
        <w:r w:rsidR="00E1792A">
          <w:rPr>
            <w:rStyle w:val="Hyperlink"/>
            <w:rFonts w:asciiTheme="majorBidi" w:hAnsiTheme="majorBidi" w:cstheme="majorBidi"/>
            <w:b/>
            <w:noProof/>
          </w:rPr>
          <w:t>Table 11</w:t>
        </w:r>
        <w:r w:rsidR="00E1792A">
          <w:rPr>
            <w:rStyle w:val="Hyperlink"/>
            <w:rFonts w:asciiTheme="majorBidi" w:hAnsiTheme="majorBidi" w:cstheme="majorBidi"/>
            <w:noProof/>
          </w:rPr>
          <w:t>: Legislative Developments Influencing Online Arbitration Practices in the UAE</w:t>
        </w:r>
        <w:r w:rsidR="00E1792A">
          <w:rPr>
            <w:rFonts w:asciiTheme="majorBidi" w:hAnsiTheme="majorBidi" w:cstheme="majorBidi"/>
            <w:noProof/>
            <w:webHidden/>
          </w:rPr>
          <w:tab/>
          <w:t>292</w:t>
        </w:r>
      </w:hyperlink>
    </w:p>
    <w:p w14:paraId="69839142" w14:textId="77777777" w:rsidR="00F073C0" w:rsidRPr="008819FD" w:rsidRDefault="00CC217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45" w:history="1">
        <w:r w:rsidR="00E1792A">
          <w:rPr>
            <w:rStyle w:val="Hyperlink"/>
            <w:rFonts w:asciiTheme="majorBidi" w:hAnsiTheme="majorBidi" w:cstheme="majorBidi"/>
            <w:b/>
            <w:noProof/>
          </w:rPr>
          <w:t>Table 12:</w:t>
        </w:r>
        <w:r w:rsidR="00E1792A">
          <w:rPr>
            <w:rStyle w:val="Hyperlink"/>
            <w:rFonts w:asciiTheme="majorBidi" w:hAnsiTheme="majorBidi" w:cstheme="majorBidi"/>
            <w:noProof/>
          </w:rPr>
          <w:t xml:space="preserve"> Summary of Quantitative Survey Findings</w:t>
        </w:r>
        <w:r w:rsidR="00E1792A">
          <w:rPr>
            <w:rFonts w:asciiTheme="majorBidi" w:hAnsiTheme="majorBidi" w:cstheme="majorBidi"/>
            <w:noProof/>
            <w:webHidden/>
          </w:rPr>
          <w:tab/>
          <w:t>296</w:t>
        </w:r>
      </w:hyperlink>
    </w:p>
    <w:p w14:paraId="776883D7" w14:textId="59BD87CC"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9753446" w:history="1">
        <w:r w:rsidR="00E1792A">
          <w:rPr>
            <w:rStyle w:val="Hyperlink"/>
            <w:rFonts w:asciiTheme="majorBidi" w:hAnsiTheme="majorBidi" w:cstheme="majorBidi"/>
            <w:b/>
            <w:noProof/>
          </w:rPr>
          <w:t>Table 13:</w:t>
        </w:r>
        <w:r w:rsidR="00E1792A">
          <w:rPr>
            <w:rStyle w:val="Hyperlink"/>
            <w:rFonts w:asciiTheme="majorBidi" w:hAnsiTheme="majorBidi" w:cstheme="majorBidi"/>
            <w:noProof/>
          </w:rPr>
          <w:t xml:space="preserve"> Statistical Analysis of Research Data</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_Toc219753446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314</w:t>
        </w:r>
        <w:r w:rsidR="00E1792A">
          <w:rPr>
            <w:rFonts w:asciiTheme="majorBidi" w:hAnsiTheme="majorBidi" w:cstheme="majorBidi"/>
            <w:noProof/>
            <w:webHidden/>
          </w:rPr>
          <w:fldChar w:fldCharType="end"/>
        </w:r>
      </w:hyperlink>
    </w:p>
    <w:p w14:paraId="7F96BA66" w14:textId="77777777" w:rsidR="00F073C0" w:rsidRPr="008819FD" w:rsidRDefault="00F073C0" w:rsidP="0099552A">
      <w:pPr>
        <w:spacing w:before="0" w:after="160" w:line="259" w:lineRule="auto"/>
        <w:rPr>
          <w:rFonts w:asciiTheme="majorBidi" w:hAnsiTheme="majorBidi" w:cstheme="majorBidi"/>
          <w:b/>
        </w:rPr>
      </w:pPr>
      <w:r>
        <w:rPr>
          <w:rFonts w:asciiTheme="majorBidi" w:hAnsiTheme="majorBidi" w:cstheme="majorBidi"/>
          <w:b/>
        </w:rPr>
        <w:fldChar w:fldCharType="end"/>
      </w:r>
    </w:p>
    <w:p w14:paraId="5479DF74" w14:textId="77777777" w:rsidR="00F073C0" w:rsidRPr="008819FD" w:rsidRDefault="00F073C0" w:rsidP="00F073C0">
      <w:pPr>
        <w:rPr>
          <w:rFonts w:asciiTheme="majorBidi" w:hAnsiTheme="majorBidi" w:cstheme="majorBidi"/>
        </w:rPr>
      </w:pPr>
    </w:p>
    <w:p w14:paraId="627E3D7B" w14:textId="77777777" w:rsidR="00F073C0" w:rsidRPr="008819FD" w:rsidRDefault="00F073C0" w:rsidP="00F073C0">
      <w:pPr>
        <w:spacing w:before="0" w:after="160" w:line="259" w:lineRule="auto"/>
        <w:rPr>
          <w:rFonts w:asciiTheme="majorBidi" w:hAnsiTheme="majorBidi" w:cstheme="majorBidi"/>
          <w:b/>
        </w:rPr>
      </w:pPr>
      <w:r>
        <w:rPr>
          <w:rFonts w:asciiTheme="majorBidi" w:hAnsiTheme="majorBidi" w:cstheme="majorBidi"/>
          <w:b/>
        </w:rPr>
        <w:br w:type="page"/>
      </w:r>
    </w:p>
    <w:p w14:paraId="20097772" w14:textId="77777777" w:rsidR="00F073C0" w:rsidRPr="008819FD" w:rsidRDefault="00F073C0" w:rsidP="00EF5F10">
      <w:pPr>
        <w:jc w:val="center"/>
        <w:rPr>
          <w:rFonts w:asciiTheme="majorBidi" w:hAnsiTheme="majorBidi" w:cstheme="majorBidi"/>
          <w:b/>
        </w:rPr>
      </w:pPr>
      <w:r>
        <w:rPr>
          <w:rFonts w:asciiTheme="majorBidi" w:hAnsiTheme="majorBidi" w:cstheme="majorBidi"/>
          <w:b/>
        </w:rPr>
        <w:lastRenderedPageBreak/>
        <w:t>List of  Figures</w:t>
      </w:r>
    </w:p>
    <w:p w14:paraId="26380923" w14:textId="570F870F" w:rsidR="00F073C0" w:rsidRPr="008819FD" w:rsidRDefault="00F073C0" w:rsidP="0099552A">
      <w:pPr>
        <w:pStyle w:val="TableofFigures"/>
        <w:tabs>
          <w:tab w:val="right" w:leader="dot" w:pos="9111"/>
        </w:tabs>
        <w:jc w:val="left"/>
        <w:rPr>
          <w:rFonts w:asciiTheme="majorBidi" w:eastAsiaTheme="minorEastAsia" w:hAnsiTheme="majorBidi" w:cstheme="majorBidi"/>
          <w:noProof/>
          <w:kern w:val="2"/>
          <w14:ligatures w14:val="standardContextual"/>
        </w:rPr>
      </w:pPr>
      <w:r>
        <w:rPr>
          <w:rFonts w:asciiTheme="majorBidi" w:hAnsiTheme="majorBidi" w:cstheme="majorBidi"/>
          <w:b/>
        </w:rPr>
        <w:fldChar w:fldCharType="begin"/>
      </w:r>
      <w:r>
        <w:rPr>
          <w:rFonts w:asciiTheme="majorBidi" w:hAnsiTheme="majorBidi" w:cstheme="majorBidi"/>
          <w:b/>
        </w:rPr>
        <w:instrText xml:space="preserve"> TOC \h \z \c "Figure" </w:instrText>
      </w:r>
      <w:r>
        <w:rPr>
          <w:rFonts w:asciiTheme="majorBidi" w:hAnsiTheme="majorBidi" w:cstheme="majorBidi"/>
          <w:b/>
        </w:rPr>
        <w:fldChar w:fldCharType="separate"/>
      </w:r>
      <w:hyperlink w:anchor="_Toc217740507" w:history="1">
        <w:r>
          <w:rPr>
            <w:rStyle w:val="Hyperlink"/>
            <w:rFonts w:asciiTheme="majorBidi" w:hAnsiTheme="majorBidi" w:cstheme="majorBidi"/>
            <w:b/>
            <w:noProof/>
          </w:rPr>
          <w:t>Figure 1</w:t>
        </w:r>
        <w:r>
          <w:rPr>
            <w:rStyle w:val="Hyperlink"/>
            <w:rFonts w:asciiTheme="majorBidi" w:hAnsiTheme="majorBidi" w:cstheme="majorBidi"/>
            <w:noProof/>
          </w:rPr>
          <w:t>: Sampling Methodology Adopted for Data Collection</w:t>
        </w:r>
        <w:r>
          <w:rPr>
            <w:rFonts w:asciiTheme="majorBidi" w:hAnsiTheme="majorBidi" w:cstheme="majorBidi"/>
            <w:noProof/>
            <w:webHidden/>
          </w:rPr>
          <w:tab/>
        </w:r>
        <w:r>
          <w:rPr>
            <w:rFonts w:asciiTheme="majorBidi" w:hAnsiTheme="majorBidi" w:cstheme="majorBidi"/>
            <w:noProof/>
            <w:webHidden/>
          </w:rPr>
          <w:fldChar w:fldCharType="begin"/>
        </w:r>
        <w:r>
          <w:rPr>
            <w:rFonts w:asciiTheme="majorBidi" w:hAnsiTheme="majorBidi" w:cstheme="majorBidi"/>
            <w:noProof/>
            <w:webHidden/>
          </w:rPr>
          <w:instrText xml:space="preserve"> PAGEREF _Toc217740507 \h </w:instrText>
        </w:r>
        <w:r>
          <w:rPr>
            <w:rFonts w:asciiTheme="majorBidi" w:hAnsiTheme="majorBidi" w:cstheme="majorBidi"/>
            <w:noProof/>
            <w:webHidden/>
          </w:rPr>
        </w:r>
        <w:r>
          <w:rPr>
            <w:rFonts w:asciiTheme="majorBidi" w:hAnsiTheme="majorBidi" w:cstheme="majorBidi"/>
            <w:noProof/>
            <w:webHidden/>
          </w:rPr>
          <w:fldChar w:fldCharType="separate"/>
        </w:r>
        <w:r w:rsidR="00B55114">
          <w:rPr>
            <w:rFonts w:asciiTheme="majorBidi" w:hAnsiTheme="majorBidi" w:cstheme="majorBidi"/>
            <w:noProof/>
            <w:webHidden/>
          </w:rPr>
          <w:t>257</w:t>
        </w:r>
        <w:r>
          <w:rPr>
            <w:rFonts w:asciiTheme="majorBidi" w:hAnsiTheme="majorBidi" w:cstheme="majorBidi"/>
            <w:noProof/>
            <w:webHidden/>
          </w:rPr>
          <w:fldChar w:fldCharType="end"/>
        </w:r>
      </w:hyperlink>
    </w:p>
    <w:p w14:paraId="4EC34A72" w14:textId="09BD1E26"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7740508" w:history="1">
        <w:r w:rsidR="00E1792A">
          <w:rPr>
            <w:rStyle w:val="Hyperlink"/>
            <w:rFonts w:asciiTheme="majorBidi" w:hAnsiTheme="majorBidi" w:cstheme="majorBidi"/>
            <w:b/>
            <w:noProof/>
          </w:rPr>
          <w:t>Figure 2:</w:t>
        </w:r>
        <w:r w:rsidR="00E1792A">
          <w:rPr>
            <w:rStyle w:val="Hyperlink"/>
            <w:rFonts w:asciiTheme="majorBidi" w:hAnsiTheme="majorBidi" w:cstheme="majorBidi"/>
            <w:noProof/>
          </w:rPr>
          <w:t xml:space="preserve"> Age Profile of Survey Participants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_Toc217740508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325</w:t>
        </w:r>
        <w:r w:rsidR="00E1792A">
          <w:rPr>
            <w:rFonts w:asciiTheme="majorBidi" w:hAnsiTheme="majorBidi" w:cstheme="majorBidi"/>
            <w:noProof/>
            <w:webHidden/>
          </w:rPr>
          <w:fldChar w:fldCharType="end"/>
        </w:r>
      </w:hyperlink>
    </w:p>
    <w:p w14:paraId="350BE33D" w14:textId="373A4729"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7740509" w:history="1">
        <w:r w:rsidR="00E1792A">
          <w:rPr>
            <w:rStyle w:val="Hyperlink"/>
            <w:rFonts w:asciiTheme="majorBidi" w:hAnsiTheme="majorBidi" w:cstheme="majorBidi"/>
            <w:b/>
            <w:noProof/>
          </w:rPr>
          <w:t>Figure 3:</w:t>
        </w:r>
        <w:r w:rsidR="00E1792A">
          <w:rPr>
            <w:rStyle w:val="Hyperlink"/>
            <w:rFonts w:asciiTheme="majorBidi" w:hAnsiTheme="majorBidi" w:cstheme="majorBidi"/>
            <w:noProof/>
          </w:rPr>
          <w:t xml:space="preserve"> Gender Composition of Respondents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_Toc217740509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328</w:t>
        </w:r>
        <w:r w:rsidR="00E1792A">
          <w:rPr>
            <w:rFonts w:asciiTheme="majorBidi" w:hAnsiTheme="majorBidi" w:cstheme="majorBidi"/>
            <w:noProof/>
            <w:webHidden/>
          </w:rPr>
          <w:fldChar w:fldCharType="end"/>
        </w:r>
      </w:hyperlink>
    </w:p>
    <w:p w14:paraId="24195D40" w14:textId="51C8C1F1"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7740510" w:history="1">
        <w:r w:rsidR="00E1792A">
          <w:rPr>
            <w:rStyle w:val="Hyperlink"/>
            <w:rFonts w:asciiTheme="majorBidi" w:hAnsiTheme="majorBidi" w:cstheme="majorBidi"/>
            <w:b/>
            <w:noProof/>
          </w:rPr>
          <w:t>Figure 4:</w:t>
        </w:r>
        <w:r w:rsidR="00E1792A">
          <w:rPr>
            <w:rStyle w:val="Hyperlink"/>
            <w:rFonts w:asciiTheme="majorBidi" w:hAnsiTheme="majorBidi" w:cstheme="majorBidi"/>
            <w:noProof/>
          </w:rPr>
          <w:t xml:space="preserve"> Distribution of Professional Experience Among Participants</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_Toc217740510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330</w:t>
        </w:r>
        <w:r w:rsidR="00E1792A">
          <w:rPr>
            <w:rFonts w:asciiTheme="majorBidi" w:hAnsiTheme="majorBidi" w:cstheme="majorBidi"/>
            <w:noProof/>
            <w:webHidden/>
          </w:rPr>
          <w:fldChar w:fldCharType="end"/>
        </w:r>
      </w:hyperlink>
    </w:p>
    <w:p w14:paraId="7C1B1BAA" w14:textId="1DC5106C"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7740511" w:history="1">
        <w:r w:rsidR="00E1792A">
          <w:rPr>
            <w:rStyle w:val="Hyperlink"/>
            <w:rFonts w:asciiTheme="majorBidi" w:eastAsia="Calibri" w:hAnsiTheme="majorBidi" w:cstheme="majorBidi"/>
            <w:b/>
            <w:bCs/>
            <w:noProof/>
          </w:rPr>
          <w:t>Figure 5:</w:t>
        </w:r>
        <w:r w:rsidR="00E1792A">
          <w:rPr>
            <w:rStyle w:val="Hyperlink"/>
            <w:rFonts w:asciiTheme="majorBidi" w:eastAsia="Calibri" w:hAnsiTheme="majorBidi" w:cstheme="majorBidi"/>
            <w:noProof/>
          </w:rPr>
          <w:t xml:space="preserve"> Extent of Professional Experience in Arbitration Practice,Source: Author</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_Toc217740511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332</w:t>
        </w:r>
        <w:r w:rsidR="00E1792A">
          <w:rPr>
            <w:rFonts w:asciiTheme="majorBidi" w:hAnsiTheme="majorBidi" w:cstheme="majorBidi"/>
            <w:noProof/>
            <w:webHidden/>
          </w:rPr>
          <w:fldChar w:fldCharType="end"/>
        </w:r>
      </w:hyperlink>
    </w:p>
    <w:p w14:paraId="37014A89" w14:textId="2C13B8DB"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7740512" w:history="1">
        <w:r w:rsidR="00E1792A">
          <w:rPr>
            <w:rStyle w:val="Hyperlink"/>
            <w:rFonts w:asciiTheme="majorBidi" w:eastAsia="Calibri" w:hAnsiTheme="majorBidi" w:cstheme="majorBidi"/>
            <w:b/>
            <w:bCs/>
            <w:noProof/>
          </w:rPr>
          <w:t>Figure 6:</w:t>
        </w:r>
        <w:r w:rsidR="00E1792A">
          <w:rPr>
            <w:rStyle w:val="Hyperlink"/>
            <w:rFonts w:asciiTheme="majorBidi" w:eastAsia="Calibri" w:hAnsiTheme="majorBidi" w:cstheme="majorBidi"/>
            <w:noProof/>
          </w:rPr>
          <w:t xml:space="preserve"> Perceived Effectiveness of Online Arbitration in Addressing Procedural Challenges ,Source: Author</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_Toc217740512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336</w:t>
        </w:r>
        <w:r w:rsidR="00E1792A">
          <w:rPr>
            <w:rFonts w:asciiTheme="majorBidi" w:hAnsiTheme="majorBidi" w:cstheme="majorBidi"/>
            <w:noProof/>
            <w:webHidden/>
          </w:rPr>
          <w:fldChar w:fldCharType="end"/>
        </w:r>
      </w:hyperlink>
    </w:p>
    <w:p w14:paraId="47953453" w14:textId="0BA77730"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7740513" w:history="1">
        <w:r w:rsidR="00E1792A">
          <w:rPr>
            <w:rStyle w:val="Hyperlink"/>
            <w:rFonts w:asciiTheme="majorBidi" w:eastAsia="Calibri" w:hAnsiTheme="majorBidi" w:cstheme="majorBidi"/>
            <w:b/>
            <w:bCs/>
            <w:noProof/>
          </w:rPr>
          <w:t>Figure 7:</w:t>
        </w:r>
        <w:r w:rsidR="00E1792A">
          <w:rPr>
            <w:rStyle w:val="Hyperlink"/>
            <w:rFonts w:asciiTheme="majorBidi" w:eastAsia="Calibri" w:hAnsiTheme="majorBidi" w:cstheme="majorBidi"/>
            <w:noProof/>
          </w:rPr>
          <w:t xml:space="preserve"> Overall Satisfaction Levels with Online Arbitration Proceedings ,Source: Author</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_Toc217740513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339</w:t>
        </w:r>
        <w:r w:rsidR="00E1792A">
          <w:rPr>
            <w:rFonts w:asciiTheme="majorBidi" w:hAnsiTheme="majorBidi" w:cstheme="majorBidi"/>
            <w:noProof/>
            <w:webHidden/>
          </w:rPr>
          <w:fldChar w:fldCharType="end"/>
        </w:r>
      </w:hyperlink>
    </w:p>
    <w:p w14:paraId="420523BA" w14:textId="329426CF"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7740514" w:history="1">
        <w:r w:rsidR="00E1792A">
          <w:rPr>
            <w:rStyle w:val="Hyperlink"/>
            <w:rFonts w:asciiTheme="majorBidi" w:eastAsia="Calibri" w:hAnsiTheme="majorBidi" w:cstheme="majorBidi"/>
            <w:b/>
            <w:bCs/>
            <w:noProof/>
          </w:rPr>
          <w:t>Figure 8:</w:t>
        </w:r>
        <w:r w:rsidR="00E1792A">
          <w:rPr>
            <w:rStyle w:val="Hyperlink"/>
            <w:rFonts w:asciiTheme="majorBidi" w:eastAsia="Calibri" w:hAnsiTheme="majorBidi" w:cstheme="majorBidi"/>
            <w:noProof/>
          </w:rPr>
          <w:t xml:space="preserve"> </w:t>
        </w:r>
        <w:r w:rsidR="00E1792A">
          <w:rPr>
            <w:rFonts w:asciiTheme="majorBidi" w:eastAsia="Calibri" w:hAnsiTheme="majorBidi" w:cstheme="majorBidi"/>
            <w:noProof/>
            <w:color w:val="000000"/>
          </w:rPr>
          <w:t>Existing Preventive Data Protection Protocols in Online Arbitration ,Source: Author</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_Toc217740514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342</w:t>
        </w:r>
        <w:r w:rsidR="00E1792A">
          <w:rPr>
            <w:rFonts w:asciiTheme="majorBidi" w:hAnsiTheme="majorBidi" w:cstheme="majorBidi"/>
            <w:noProof/>
            <w:webHidden/>
          </w:rPr>
          <w:fldChar w:fldCharType="end"/>
        </w:r>
      </w:hyperlink>
    </w:p>
    <w:p w14:paraId="5A386CA9" w14:textId="78A199C7"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7740515" w:history="1">
        <w:r w:rsidR="00E1792A">
          <w:rPr>
            <w:rStyle w:val="Hyperlink"/>
            <w:rFonts w:asciiTheme="majorBidi" w:eastAsia="Calibri" w:hAnsiTheme="majorBidi" w:cstheme="majorBidi"/>
            <w:b/>
            <w:bCs/>
            <w:noProof/>
          </w:rPr>
          <w:t>Figure 9:</w:t>
        </w:r>
        <w:r w:rsidR="00E1792A">
          <w:rPr>
            <w:rStyle w:val="Hyperlink"/>
            <w:rFonts w:asciiTheme="majorBidi" w:eastAsia="Calibri" w:hAnsiTheme="majorBidi" w:cstheme="majorBidi"/>
            <w:noProof/>
          </w:rPr>
          <w:t xml:space="preserve"> Role of Online Arbitration in Safeguarding Data Confidentiality in the UAE ,Source: Author</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_Toc217740515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344</w:t>
        </w:r>
        <w:r w:rsidR="00E1792A">
          <w:rPr>
            <w:rFonts w:asciiTheme="majorBidi" w:hAnsiTheme="majorBidi" w:cstheme="majorBidi"/>
            <w:noProof/>
            <w:webHidden/>
          </w:rPr>
          <w:fldChar w:fldCharType="end"/>
        </w:r>
      </w:hyperlink>
    </w:p>
    <w:p w14:paraId="41AD8448" w14:textId="6A956B8A" w:rsidR="00F073C0" w:rsidRPr="008819FD" w:rsidRDefault="004A062E" w:rsidP="005F276E">
      <w:pPr>
        <w:shd w:val="clear" w:color="auto" w:fill="FFFFFF"/>
        <w:spacing w:line="480" w:lineRule="auto"/>
        <w:rPr>
          <w:rFonts w:asciiTheme="majorBidi" w:eastAsia="Calibri" w:hAnsiTheme="majorBidi" w:cstheme="majorBidi"/>
          <w:b/>
          <w:bCs/>
          <w:noProof/>
          <w:color w:val="000000"/>
          <w:u w:val="single"/>
        </w:rPr>
      </w:pPr>
      <w:hyperlink w:anchor="_Toc217740516" w:history="1">
        <w:r w:rsidR="00E1792A">
          <w:rPr>
            <w:rStyle w:val="Hyperlink"/>
            <w:rFonts w:asciiTheme="majorBidi" w:eastAsia="Calibri" w:hAnsiTheme="majorBidi" w:cstheme="majorBidi"/>
            <w:b/>
            <w:bCs/>
            <w:noProof/>
          </w:rPr>
          <w:t>Figure 10:</w:t>
        </w:r>
        <w:r w:rsidR="00E1792A">
          <w:rPr>
            <w:rStyle w:val="Hyperlink"/>
            <w:rFonts w:asciiTheme="majorBidi" w:eastAsia="Calibri" w:hAnsiTheme="majorBidi" w:cstheme="majorBidi"/>
            <w:noProof/>
          </w:rPr>
          <w:t xml:space="preserve"> </w:t>
        </w:r>
        <w:r w:rsidR="00E1792A">
          <w:rPr>
            <w:rFonts w:asciiTheme="majorBidi" w:eastAsia="Calibri" w:hAnsiTheme="majorBidi" w:cstheme="majorBidi"/>
            <w:noProof/>
            <w:color w:val="000000"/>
          </w:rPr>
          <w:t>Assessment of the Operational Effectiveness of the UAE Online Arbitration Platform ,Source: Author…….</w:t>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_Toc217740516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347</w:t>
        </w:r>
        <w:r w:rsidR="00E1792A">
          <w:rPr>
            <w:rFonts w:asciiTheme="majorBidi" w:hAnsiTheme="majorBidi" w:cstheme="majorBidi"/>
            <w:noProof/>
            <w:webHidden/>
          </w:rPr>
          <w:fldChar w:fldCharType="end"/>
        </w:r>
      </w:hyperlink>
    </w:p>
    <w:p w14:paraId="38B8A5C8" w14:textId="014B7DE7" w:rsidR="00F073C0" w:rsidRPr="008819FD" w:rsidRDefault="004A062E" w:rsidP="0099552A">
      <w:pPr>
        <w:pStyle w:val="TableofFigures"/>
        <w:tabs>
          <w:tab w:val="right" w:leader="dot" w:pos="9111"/>
        </w:tabs>
        <w:jc w:val="left"/>
        <w:rPr>
          <w:rFonts w:asciiTheme="majorBidi" w:eastAsiaTheme="minorEastAsia" w:hAnsiTheme="majorBidi" w:cstheme="majorBidi"/>
          <w:noProof/>
          <w:kern w:val="2"/>
          <w14:ligatures w14:val="standardContextual"/>
        </w:rPr>
      </w:pPr>
      <w:hyperlink w:anchor="_Toc217740517" w:history="1">
        <w:r w:rsidR="00E1792A">
          <w:rPr>
            <w:rStyle w:val="Hyperlink"/>
            <w:rFonts w:asciiTheme="majorBidi" w:eastAsia="Calibri" w:hAnsiTheme="majorBidi" w:cstheme="majorBidi"/>
            <w:b/>
            <w:bCs/>
            <w:noProof/>
          </w:rPr>
          <w:t>Figure 11:</w:t>
        </w:r>
        <w:r w:rsidR="00E1792A">
          <w:rPr>
            <w:rFonts w:asciiTheme="majorBidi" w:hAnsiTheme="majorBidi" w:cstheme="majorBidi"/>
            <w:noProof/>
          </w:rPr>
          <w:t xml:space="preserve"> </w:t>
        </w:r>
        <w:r w:rsidR="00E1792A">
          <w:rPr>
            <w:rStyle w:val="Hyperlink"/>
            <w:rFonts w:asciiTheme="majorBidi" w:eastAsia="Calibri" w:hAnsiTheme="majorBidi" w:cstheme="majorBidi"/>
            <w:noProof/>
          </w:rPr>
          <w:t>Impact of Recent Legislative Amendments on Online Arbitration in the UAE ,Source: Author</w:t>
        </w:r>
        <w:r w:rsidR="00E1792A">
          <w:rPr>
            <w:rFonts w:asciiTheme="majorBidi" w:hAnsiTheme="majorBidi" w:cstheme="majorBidi"/>
            <w:noProof/>
            <w:webHidden/>
          </w:rPr>
          <w:tab/>
        </w:r>
        <w:r w:rsidR="00E1792A">
          <w:rPr>
            <w:rFonts w:asciiTheme="majorBidi" w:hAnsiTheme="majorBidi" w:cstheme="majorBidi"/>
            <w:noProof/>
            <w:webHidden/>
          </w:rPr>
          <w:fldChar w:fldCharType="begin"/>
        </w:r>
        <w:r w:rsidR="00E1792A">
          <w:rPr>
            <w:rFonts w:asciiTheme="majorBidi" w:hAnsiTheme="majorBidi" w:cstheme="majorBidi"/>
            <w:noProof/>
            <w:webHidden/>
          </w:rPr>
          <w:instrText xml:space="preserve"> PAGEREF _Toc217740517 \h </w:instrText>
        </w:r>
        <w:r w:rsidR="00E1792A">
          <w:rPr>
            <w:rFonts w:asciiTheme="majorBidi" w:hAnsiTheme="majorBidi" w:cstheme="majorBidi"/>
            <w:noProof/>
            <w:webHidden/>
          </w:rPr>
        </w:r>
        <w:r w:rsidR="00E1792A">
          <w:rPr>
            <w:rFonts w:asciiTheme="majorBidi" w:hAnsiTheme="majorBidi" w:cstheme="majorBidi"/>
            <w:noProof/>
            <w:webHidden/>
          </w:rPr>
          <w:fldChar w:fldCharType="separate"/>
        </w:r>
        <w:r w:rsidR="00B55114">
          <w:rPr>
            <w:rFonts w:asciiTheme="majorBidi" w:hAnsiTheme="majorBidi" w:cstheme="majorBidi"/>
            <w:noProof/>
            <w:webHidden/>
          </w:rPr>
          <w:t>350</w:t>
        </w:r>
        <w:r w:rsidR="00E1792A">
          <w:rPr>
            <w:rFonts w:asciiTheme="majorBidi" w:hAnsiTheme="majorBidi" w:cstheme="majorBidi"/>
            <w:noProof/>
            <w:webHidden/>
          </w:rPr>
          <w:fldChar w:fldCharType="end"/>
        </w:r>
      </w:hyperlink>
    </w:p>
    <w:p w14:paraId="1EBCCB84" w14:textId="77777777" w:rsidR="00F073C0" w:rsidRPr="008819FD" w:rsidRDefault="00F073C0" w:rsidP="00F073C0">
      <w:pPr>
        <w:spacing w:before="0" w:after="160" w:line="259" w:lineRule="auto"/>
        <w:rPr>
          <w:rFonts w:asciiTheme="majorBidi" w:hAnsiTheme="majorBidi" w:cstheme="majorBidi"/>
          <w:b/>
        </w:rPr>
      </w:pPr>
      <w:r>
        <w:rPr>
          <w:rFonts w:asciiTheme="majorBidi" w:hAnsiTheme="majorBidi" w:cstheme="majorBidi"/>
          <w:b/>
        </w:rPr>
        <w:fldChar w:fldCharType="end"/>
      </w:r>
    </w:p>
    <w:p w14:paraId="4BD842F8" w14:textId="77777777" w:rsidR="00F073C0" w:rsidRPr="008819FD" w:rsidRDefault="00F073C0" w:rsidP="00F073C0">
      <w:pPr>
        <w:rPr>
          <w:rFonts w:asciiTheme="majorBidi" w:hAnsiTheme="majorBidi" w:cstheme="majorBidi"/>
        </w:rPr>
        <w:sectPr w:rsidR="00F073C0" w:rsidRPr="008819FD" w:rsidSect="00336BD2">
          <w:headerReference w:type="default" r:id="rId10"/>
          <w:footerReference w:type="default" r:id="rId11"/>
          <w:pgSz w:w="12240" w:h="15840"/>
          <w:pgMar w:top="1701" w:right="1701" w:bottom="1134" w:left="1418" w:header="709" w:footer="709" w:gutter="0"/>
          <w:pgNumType w:fmt="lowerRoman" w:start="1"/>
          <w:cols w:space="708"/>
          <w:docGrid w:linePitch="360"/>
        </w:sectPr>
      </w:pPr>
    </w:p>
    <w:p w14:paraId="428E10E4" w14:textId="77777777" w:rsidR="00F073C0" w:rsidRPr="008819FD" w:rsidRDefault="005A4670" w:rsidP="005A4670">
      <w:pPr>
        <w:pStyle w:val="Heading1"/>
        <w:rPr>
          <w:rFonts w:asciiTheme="majorBidi" w:hAnsiTheme="majorBidi" w:cstheme="majorBidi"/>
        </w:rPr>
      </w:pPr>
      <w:bookmarkStart w:id="2" w:name="_Toc126226836"/>
      <w:bookmarkStart w:id="3" w:name="_Toc221804488"/>
      <w:r>
        <w:rPr>
          <w:rFonts w:asciiTheme="majorBidi" w:hAnsiTheme="majorBidi" w:cstheme="majorBidi"/>
        </w:rPr>
        <w:lastRenderedPageBreak/>
        <w:t>: Introduction</w:t>
      </w:r>
      <w:bookmarkEnd w:id="2"/>
      <w:bookmarkEnd w:id="3"/>
    </w:p>
    <w:p w14:paraId="5F2ACAC6" w14:textId="77777777" w:rsidR="00F073C0" w:rsidRPr="008819FD" w:rsidRDefault="00F073C0" w:rsidP="00663759">
      <w:pPr>
        <w:pStyle w:val="Heading2"/>
        <w:rPr>
          <w:rFonts w:asciiTheme="majorBidi" w:hAnsiTheme="majorBidi" w:cstheme="majorBidi"/>
          <w:sz w:val="24"/>
          <w:szCs w:val="24"/>
          <w:lang w:val="en-GB"/>
        </w:rPr>
      </w:pPr>
      <w:bookmarkStart w:id="4" w:name="_Toc209626896"/>
      <w:bookmarkStart w:id="5" w:name="_Toc217491532"/>
      <w:bookmarkStart w:id="6" w:name="_Toc221804489"/>
      <w:r>
        <w:rPr>
          <w:rFonts w:asciiTheme="majorBidi" w:hAnsiTheme="majorBidi" w:cstheme="majorBidi"/>
          <w:sz w:val="24"/>
          <w:szCs w:val="24"/>
          <w:lang w:val="en-GB"/>
        </w:rPr>
        <w:t>Research Background</w:t>
      </w:r>
      <w:bookmarkEnd w:id="4"/>
      <w:bookmarkEnd w:id="5"/>
      <w:bookmarkEnd w:id="6"/>
    </w:p>
    <w:p w14:paraId="07B206DE" w14:textId="77777777" w:rsidR="00F073C0" w:rsidRPr="008819FD" w:rsidRDefault="00F073C0" w:rsidP="00EA415D">
      <w:pPr>
        <w:shd w:val="clear" w:color="auto" w:fill="FFFFFF"/>
        <w:spacing w:after="0" w:line="480" w:lineRule="auto"/>
        <w:ind w:firstLine="720"/>
        <w:rPr>
          <w:rFonts w:asciiTheme="majorBidi" w:eastAsia="Times New Roman" w:hAnsiTheme="majorBidi" w:cstheme="majorBidi"/>
          <w:color w:val="000000"/>
          <w:lang w:val="en-GB"/>
        </w:rPr>
      </w:pPr>
      <w:bookmarkStart w:id="7" w:name="_Hlk217724389"/>
      <w:r>
        <w:rPr>
          <w:rFonts w:asciiTheme="majorBidi" w:eastAsia="Times New Roman" w:hAnsiTheme="majorBidi" w:cstheme="majorBidi"/>
          <w:color w:val="000000"/>
          <w:lang w:val="en-GB"/>
        </w:rPr>
        <w:t>The rapid growth of electronic commerce in recent years was primarily due to its broad global usage and availability through the virtual . Additionally, globalization allowed large business companies to have the same opportunities in all countries through legislation and legal changes that favor businesses while protecting public interest.</w:t>
      </w:r>
    </w:p>
    <w:p w14:paraId="53BE2C91" w14:textId="473B28D1" w:rsidR="00F073C0" w:rsidRPr="0005026F" w:rsidRDefault="00F073C0" w:rsidP="0005026F">
      <w:pPr>
        <w:shd w:val="clear" w:color="auto" w:fill="FFFFFF"/>
        <w:spacing w:after="0" w:line="480" w:lineRule="auto"/>
        <w:ind w:firstLine="720"/>
        <w:rPr>
          <w:rFonts w:asciiTheme="majorBidi" w:eastAsia="Times New Roman" w:hAnsiTheme="majorBidi" w:cstheme="majorBidi"/>
          <w:rtl/>
        </w:rPr>
      </w:pPr>
      <w:r w:rsidRPr="0005026F">
        <w:rPr>
          <w:rFonts w:asciiTheme="majorBidi" w:eastAsia="Times New Roman" w:hAnsiTheme="majorBidi" w:cstheme="majorBidi"/>
          <w:lang w:val="en-GB"/>
        </w:rPr>
        <w:t xml:space="preserve">Thus, when technology created both the market place and the scope for resolving disputes electronically, the need arose for a new method of dispute resolution that utilised technology to resolve disputes, i.e., online arbitration, or otherwise referred to as Online Dispute Resolution (ODR). </w:t>
      </w:r>
    </w:p>
    <w:p w14:paraId="41C0A02D"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However, the dispute of an alleged inappropriate business transaction appears to be a matter of indifference as to where, when, how, or who is involved. In addition to the number of other disputes that occur as part of our daily lives, especially in business transactions; the lack of an established method to preclude such disputes makes it impossible for us to disregard them each time they occur. Therefore, we need to examine how we can most efficiently resolve disputes through adherence to those procedures, protocols, precedents and legal frameworks, which will allow us to receive awards from pertinent arbitration bodies and authority</w:t>
      </w:r>
      <w:r>
        <w:rPr>
          <w:rFonts w:asciiTheme="majorBidi" w:eastAsia="Times New Roman" w:hAnsiTheme="majorBidi" w:cstheme="majorBidi"/>
          <w:color w:val="000000"/>
          <w:lang w:val="en-GB"/>
        </w:rPr>
        <w:t>.</w:t>
      </w:r>
      <w:r>
        <w:rPr>
          <w:rStyle w:val="FootnoteReference"/>
          <w:rFonts w:asciiTheme="majorBidi" w:eastAsia="Times New Roman" w:hAnsiTheme="majorBidi" w:cstheme="majorBidi"/>
          <w:color w:val="000000"/>
          <w:lang w:val="en-GB"/>
        </w:rPr>
        <w:footnoteReference w:id="1"/>
      </w:r>
      <w:bookmarkStart w:id="8" w:name="_Hlk217724467"/>
      <w:bookmarkEnd w:id="7"/>
    </w:p>
    <w:p w14:paraId="15CDAE99" w14:textId="77777777" w:rsidR="00720DED" w:rsidRPr="008819FD" w:rsidRDefault="00F073C0" w:rsidP="003E1FC3">
      <w:pPr>
        <w:shd w:val="clear" w:color="auto" w:fill="FFFFFF"/>
        <w:spacing w:after="0" w:line="480" w:lineRule="auto"/>
        <w:ind w:firstLine="720"/>
        <w:rPr>
          <w:rFonts w:asciiTheme="majorBidi" w:hAnsiTheme="majorBidi" w:cstheme="majorBidi"/>
          <w:color w:val="000000"/>
        </w:rPr>
      </w:pPr>
      <w:r>
        <w:rPr>
          <w:rFonts w:asciiTheme="majorBidi" w:eastAsia="Times New Roman" w:hAnsiTheme="majorBidi" w:cstheme="majorBidi"/>
          <w:color w:val="000000"/>
          <w:lang w:val="en-GB"/>
        </w:rPr>
        <w:t> </w:t>
      </w:r>
      <w:r>
        <w:rPr>
          <w:rFonts w:asciiTheme="majorBidi" w:hAnsiTheme="majorBidi" w:cstheme="majorBidi"/>
          <w:color w:val="000000"/>
        </w:rPr>
        <w:t xml:space="preserve">The United Arab Emirates had developed a strategy for the continuation of business across all its organisations during the period in which the COVID-19 pandemic affected the </w:t>
      </w:r>
      <w:r>
        <w:rPr>
          <w:rFonts w:asciiTheme="majorBidi" w:hAnsiTheme="majorBidi" w:cstheme="majorBidi"/>
          <w:color w:val="000000"/>
        </w:rPr>
        <w:lastRenderedPageBreak/>
        <w:t xml:space="preserve">world, and it has been able to maintain the impact of the pandemic at an acceptable level, and ensure that the normal operations of the businesses continued using various strategic approaches used throughout the country, this includes the private sector as well; the provision of facilities and services for the business continuity of nearly all businesses. </w:t>
      </w:r>
    </w:p>
    <w:p w14:paraId="0EAFEBAB" w14:textId="77777777" w:rsidR="00F073C0" w:rsidRPr="008819FD" w:rsidRDefault="00F073C0" w:rsidP="003E1FC3">
      <w:pPr>
        <w:shd w:val="clear" w:color="auto" w:fill="FFFFFF"/>
        <w:spacing w:after="0" w:line="480" w:lineRule="auto"/>
        <w:ind w:firstLine="720"/>
        <w:rPr>
          <w:rFonts w:asciiTheme="majorBidi" w:hAnsiTheme="majorBidi" w:cstheme="majorBidi"/>
          <w:color w:val="000000"/>
        </w:rPr>
      </w:pPr>
      <w:r>
        <w:rPr>
          <w:rFonts w:asciiTheme="majorBidi" w:hAnsiTheme="majorBidi" w:cstheme="majorBidi"/>
          <w:color w:val="000000"/>
        </w:rPr>
        <w:t>It is necessary to define the limits of this research with regard to the concept of online arbitration. It is also necessary to distinguish between the two types of online arbitration. The first type is full online arbitration, generally known as Online Dispute Resolution (ODR) that is typically used by major e-commerce platforms like Amazon and Google. In this form of ODR, consumer-supplier disputes are resolved mainly through automated electronic systems without the direct participation of arbitrators, attorneys or arbitration institutions. Due to its reliance on algorithms and simplified processes, the use of ODR creates unique issues concerning the confidentiality and protection of personal data</w:t>
      </w:r>
      <w:r>
        <w:rPr>
          <w:rStyle w:val="FootnoteReference"/>
          <w:rFonts w:asciiTheme="majorBidi" w:eastAsia="Times New Roman" w:hAnsiTheme="majorBidi" w:cstheme="majorBidi"/>
          <w:color w:val="000000"/>
          <w:lang w:val="en-GB"/>
        </w:rPr>
        <w:footnoteReference w:id="2"/>
      </w:r>
      <w:r>
        <w:rPr>
          <w:rFonts w:asciiTheme="majorBidi" w:eastAsia="Times New Roman" w:hAnsiTheme="majorBidi" w:cstheme="majorBidi"/>
          <w:color w:val="000000"/>
          <w:lang w:val="en-GB"/>
        </w:rPr>
        <w:t xml:space="preserve">. </w:t>
      </w:r>
      <w:r>
        <w:rPr>
          <w:rFonts w:asciiTheme="majorBidi" w:hAnsiTheme="majorBidi" w:cstheme="majorBidi"/>
          <w:color w:val="000000"/>
        </w:rPr>
        <w:t>The second type (the subject of this study), is institutional or hybrid online arbitration. In institutional or hybrid online arbitration the main components of arbitration (arbitrator(s), lawyer(s) and an arbitral institution) will still be present; however, the way that parties can use digital platforms to facilitate the processes and procedures of arbitration including conducting hearings virtually, submitting documentation, etc., will be the focus. Therefore, the emphasis of this study will be on institutional-hybrid model as the most suitable model to examine the challenges and opportunities of online arbitration in the United Arab Emirates and other jurisdictions, while at the same time recognizing that there are forms of fully online ODR operating in the global digital economy</w:t>
      </w:r>
      <w:r>
        <w:rPr>
          <w:rFonts w:asciiTheme="majorBidi" w:eastAsia="Times New Roman" w:hAnsiTheme="majorBidi" w:cstheme="majorBidi"/>
          <w:color w:val="000000"/>
          <w:lang w:val="en-GB"/>
        </w:rPr>
        <w:t>.</w:t>
      </w:r>
    </w:p>
    <w:p w14:paraId="0DF0A88F" w14:textId="77777777" w:rsidR="00F073C0" w:rsidRPr="008819FD" w:rsidRDefault="00F073C0" w:rsidP="00663759">
      <w:pPr>
        <w:pStyle w:val="Heading2"/>
        <w:rPr>
          <w:rFonts w:asciiTheme="majorBidi" w:hAnsiTheme="majorBidi" w:cstheme="majorBidi"/>
          <w:sz w:val="24"/>
          <w:szCs w:val="24"/>
          <w:lang w:val="en-GB"/>
        </w:rPr>
      </w:pPr>
      <w:bookmarkStart w:id="9" w:name="_Toc221804490"/>
      <w:bookmarkEnd w:id="8"/>
      <w:r>
        <w:rPr>
          <w:rFonts w:asciiTheme="majorBidi" w:hAnsiTheme="majorBidi" w:cstheme="majorBidi"/>
          <w:sz w:val="24"/>
          <w:szCs w:val="24"/>
          <w:lang w:val="en-GB"/>
        </w:rPr>
        <w:lastRenderedPageBreak/>
        <w:t>Research Problem</w:t>
      </w:r>
      <w:bookmarkEnd w:id="9"/>
      <w:r>
        <w:rPr>
          <w:rFonts w:asciiTheme="majorBidi" w:hAnsiTheme="majorBidi" w:cstheme="majorBidi"/>
          <w:sz w:val="24"/>
          <w:szCs w:val="24"/>
          <w:lang w:val="en-GB"/>
        </w:rPr>
        <w:t xml:space="preserve"> </w:t>
      </w:r>
    </w:p>
    <w:p w14:paraId="647F3A95" w14:textId="77777777" w:rsidR="00720DED" w:rsidRPr="008819FD" w:rsidRDefault="00F073C0" w:rsidP="003E1FC3">
      <w:pPr>
        <w:pStyle w:val="NormalWeb"/>
        <w:spacing w:line="480" w:lineRule="auto"/>
        <w:ind w:firstLine="720"/>
        <w:rPr>
          <w:rFonts w:asciiTheme="majorBidi" w:hAnsiTheme="majorBidi" w:cstheme="majorBidi"/>
          <w:color w:val="000000"/>
        </w:rPr>
      </w:pPr>
      <w:bookmarkStart w:id="10" w:name="_Hlk217724576"/>
      <w:bookmarkStart w:id="11" w:name="_Toc126226839"/>
      <w:r>
        <w:rPr>
          <w:rFonts w:asciiTheme="majorBidi" w:hAnsiTheme="majorBidi" w:cstheme="majorBidi"/>
        </w:rPr>
        <w:t>Multiple elements merged to create an environment in which this study is based upon; however, it was primarily a single element that provided the context for the entire scenario and presented the necessity for examining the necessity for revising or creating new legislative regulations regarding arbitration due to the COVID-19 pandemic. In response to the COVID-19 pandemic, nearly all forms of business in the United Arab Emirates (UAE) were required to depend solely on digital means to operate their daily functions and to perform all activities, including litigations</w:t>
      </w:r>
      <w:r>
        <w:rPr>
          <w:rFonts w:asciiTheme="majorBidi" w:hAnsiTheme="majorBidi" w:cstheme="majorBidi"/>
          <w:color w:val="000000"/>
          <w:lang w:val="en-GB"/>
        </w:rPr>
        <w:t>.</w:t>
      </w:r>
      <w:r>
        <w:rPr>
          <w:rStyle w:val="FootnoteReference"/>
          <w:rFonts w:asciiTheme="majorBidi" w:hAnsiTheme="majorBidi" w:cstheme="majorBidi"/>
          <w:color w:val="000000"/>
          <w:lang w:val="en-GB"/>
        </w:rPr>
        <w:footnoteReference w:id="3"/>
      </w:r>
      <w:r>
        <w:rPr>
          <w:rFonts w:asciiTheme="majorBidi" w:hAnsiTheme="majorBidi" w:cstheme="majorBidi"/>
          <w:color w:val="000000"/>
          <w:lang w:val="en-GB"/>
        </w:rPr>
        <w:t xml:space="preserve"> </w:t>
      </w:r>
      <w:r>
        <w:rPr>
          <w:rFonts w:asciiTheme="majorBidi" w:hAnsiTheme="majorBidi" w:cstheme="majorBidi"/>
          <w:color w:val="000000"/>
        </w:rPr>
        <w:t xml:space="preserve">Therefore, the problem of whether the present legislation is sufficient to regulate the complete process of Virtual  arbitration, and whether they can be used to solve problems caused by use of virtual arbitration (for example, protection of confidential information and hacker attacks) will be studied. </w:t>
      </w:r>
    </w:p>
    <w:p w14:paraId="7FF74EA6" w14:textId="77777777" w:rsidR="00F073C0" w:rsidRPr="008819FD" w:rsidRDefault="00F073C0" w:rsidP="003E1FC3">
      <w:pPr>
        <w:pStyle w:val="NormalWeb"/>
        <w:spacing w:line="480" w:lineRule="auto"/>
        <w:ind w:firstLine="720"/>
        <w:rPr>
          <w:rFonts w:asciiTheme="majorBidi" w:hAnsiTheme="majorBidi" w:cstheme="majorBidi"/>
        </w:rPr>
      </w:pPr>
      <w:r>
        <w:rPr>
          <w:rFonts w:asciiTheme="majorBidi" w:hAnsiTheme="majorBidi" w:cstheme="majorBidi"/>
          <w:color w:val="000000"/>
        </w:rPr>
        <w:t>Additionally, the study will look at all arbitration methods in relation to their suitability for on-line service. The Government encouraged arbitral centres and legal authorities to carry out a number of important actions during the pandemic to provide a continuous service and to eliminate the difficulties experienced by consumers when using Virtual arbitration services</w:t>
      </w:r>
      <w:r>
        <w:rPr>
          <w:rFonts w:asciiTheme="majorBidi" w:hAnsiTheme="majorBidi" w:cstheme="majorBidi"/>
          <w:color w:val="000000"/>
          <w:lang w:val="en-GB"/>
        </w:rPr>
        <w:t>.</w:t>
      </w:r>
      <w:r>
        <w:rPr>
          <w:rStyle w:val="FootnoteReference"/>
          <w:rFonts w:asciiTheme="majorBidi" w:hAnsiTheme="majorBidi" w:cstheme="majorBidi"/>
          <w:color w:val="000000"/>
          <w:lang w:val="en-GB"/>
        </w:rPr>
        <w:footnoteReference w:id="4"/>
      </w:r>
    </w:p>
    <w:p w14:paraId="4D91456B"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 xml:space="preserve">The lockdown created due to health issues has made it necessary to create e-platforms for online arbitration, so as to allow arbitration processes to continue. However, even though arbitration can take place on line, the entire process of arbitration is subject to the laws and regulations established many years ago for traditional arbitration, and therefore a very </w:t>
      </w:r>
      <w:r>
        <w:rPr>
          <w:rFonts w:asciiTheme="majorBidi" w:eastAsia="Times New Roman" w:hAnsiTheme="majorBidi" w:cstheme="majorBidi"/>
          <w:color w:val="000000"/>
        </w:rPr>
        <w:lastRenderedPageBreak/>
        <w:t>important issue raised by this thesis is whether the legislation that governs arbitration should be changed/amended, or replaced, in order to regulate online arbitration, or if there is a need for new/other regulations in order to ensure the confidential treatment of personal data, and what would be the main obstacles to ensuring data protection</w:t>
      </w:r>
      <w:r>
        <w:rPr>
          <w:rFonts w:asciiTheme="majorBidi" w:eastAsia="Times New Roman" w:hAnsiTheme="majorBidi" w:cstheme="majorBidi"/>
          <w:color w:val="000000"/>
          <w:lang w:val="en-GB"/>
        </w:rPr>
        <w:t>.</w:t>
      </w:r>
      <w:r>
        <w:rPr>
          <w:rStyle w:val="FootnoteReference"/>
          <w:rFonts w:asciiTheme="majorBidi" w:eastAsia="Times New Roman" w:hAnsiTheme="majorBidi" w:cstheme="majorBidi"/>
          <w:color w:val="000000"/>
          <w:lang w:val="en-GB"/>
        </w:rPr>
        <w:footnoteReference w:id="5"/>
      </w:r>
      <w:r>
        <w:rPr>
          <w:rFonts w:asciiTheme="majorBidi" w:eastAsia="Times New Roman" w:hAnsiTheme="majorBidi" w:cstheme="majorBidi"/>
          <w:color w:val="000000"/>
          <w:lang w:val="en-GB"/>
        </w:rPr>
        <w:t xml:space="preserve"> </w:t>
      </w:r>
    </w:p>
    <w:p w14:paraId="5920F150"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This study attempts to determine how to create legislation, laws or regulations, and methods which allow an efficient, secure, and rapid way to solve online arbitration (disputes) so both sides of a dispute will be able to view a record of the arbitration process which may also show who has viewed other sensitive information of one of the parties to the dispute. In addition, the need for such mechanisms is increased because large corporations are forced to reveal their trade secrets during the arbitration process. The trade secrets that could be revealed include: Confidential Information; Production Methods; Trade Secrets related to intellectual</w:t>
      </w:r>
      <w:r>
        <w:rPr>
          <w:rFonts w:asciiTheme="majorBidi" w:eastAsia="Times New Roman" w:hAnsiTheme="majorBidi" w:cstheme="majorBidi"/>
          <w:color w:val="000000"/>
          <w:rtl/>
        </w:rPr>
        <w:t xml:space="preserve"> </w:t>
      </w:r>
      <w:r>
        <w:rPr>
          <w:rFonts w:asciiTheme="majorBidi" w:eastAsia="Times New Roman" w:hAnsiTheme="majorBidi" w:cstheme="majorBidi"/>
          <w:color w:val="000000"/>
        </w:rPr>
        <w:t>property rights.In addition to the need to find ways to protect the trade secrets of large corporations from being hacked, the researchers have been influenced by many previous cases of hacking, and other information security breaches that have occurred. A recent example is the hacking of the data of approximately 380,000 to 500,000 British Airways customers during the summer of 2018. During the hacking, the hackers obtained customers' names, email addresses, home addresses, credit card account numbers, and the three-digit security code located on the back of the customer's credit card</w:t>
      </w:r>
      <w:r>
        <w:rPr>
          <w:rStyle w:val="FootnoteReference"/>
          <w:rFonts w:asciiTheme="majorBidi" w:eastAsia="Times New Roman" w:hAnsiTheme="majorBidi" w:cstheme="majorBidi"/>
          <w:color w:val="000000"/>
          <w:lang w:val="en-GB"/>
        </w:rPr>
        <w:footnoteReference w:id="6"/>
      </w:r>
      <w:r>
        <w:rPr>
          <w:rFonts w:asciiTheme="majorBidi" w:eastAsia="Times New Roman" w:hAnsiTheme="majorBidi" w:cstheme="majorBidi"/>
          <w:color w:val="000000"/>
          <w:lang w:val="en-GB"/>
        </w:rPr>
        <w:t>.</w:t>
      </w:r>
    </w:p>
    <w:p w14:paraId="5FD662ED"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 xml:space="preserve">The ICO (Information Commissioner's Office), an analogue of Europe's Data Protection Commission and responsible for enforcing data protection law in the U.K., </w:t>
      </w:r>
      <w:r>
        <w:rPr>
          <w:rFonts w:asciiTheme="majorBidi" w:eastAsia="Times New Roman" w:hAnsiTheme="majorBidi" w:cstheme="majorBidi"/>
          <w:color w:val="000000"/>
        </w:rPr>
        <w:lastRenderedPageBreak/>
        <w:t>confirmed the hack, noting that the airline's website had been redirected to a fake hacker's site</w:t>
      </w:r>
      <w:r>
        <w:rPr>
          <w:rFonts w:asciiTheme="majorBidi" w:eastAsia="Times New Roman" w:hAnsiTheme="majorBidi" w:cstheme="majorBidi"/>
          <w:color w:val="000000"/>
          <w:lang w:val="en-GB"/>
        </w:rPr>
        <w:t>.</w:t>
      </w:r>
      <w:r>
        <w:rPr>
          <w:rStyle w:val="FootnoteReference"/>
          <w:rFonts w:asciiTheme="majorBidi" w:eastAsia="Times New Roman" w:hAnsiTheme="majorBidi" w:cstheme="majorBidi"/>
          <w:color w:val="000000"/>
          <w:lang w:val="en-GB"/>
        </w:rPr>
        <w:footnoteReference w:id="7"/>
      </w:r>
      <w:r>
        <w:rPr>
          <w:rFonts w:asciiTheme="majorBidi" w:eastAsia="Times New Roman" w:hAnsiTheme="majorBidi" w:cstheme="majorBidi"/>
          <w:color w:val="000000"/>
          <w:lang w:val="en-GB"/>
        </w:rPr>
        <w:t xml:space="preserve"> </w:t>
      </w:r>
    </w:p>
    <w:p w14:paraId="3E9E0845"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A third-party payment service provider-based supply chain attack via a malicious JavaScript code injection to extract customer payment information from British Airways' website was confirmed by data security professionals. This is evidenced by the fact that the compromised data included CVV codes, which are prohibited under PCI-DSS regulations as they are not required to be stored, only processed at the time of the transaction, making unauthorised access to databases improbable. Further evidence can be seen in the European Central Bank case. On July 24, 2014, the ECB announced that its database had been breached by unknown parties who attempted to extort money from the bank to return the stolen data on July 21. The hackers accessed the database of the ECB and extracted 20,000 e-mails and contact information of all registrants of European events</w:t>
      </w:r>
      <w:r>
        <w:rPr>
          <w:rStyle w:val="FootnoteReference"/>
          <w:rFonts w:asciiTheme="majorBidi" w:eastAsia="Times New Roman" w:hAnsiTheme="majorBidi" w:cstheme="majorBidi"/>
          <w:color w:val="000000"/>
          <w:lang w:val="en-GB"/>
        </w:rPr>
        <w:footnoteReference w:id="8"/>
      </w:r>
      <w:r>
        <w:rPr>
          <w:rFonts w:asciiTheme="majorBidi" w:eastAsia="Times New Roman" w:hAnsiTheme="majorBidi" w:cstheme="majorBidi"/>
          <w:color w:val="000000"/>
          <w:lang w:val="en-GB"/>
        </w:rPr>
        <w:t>.</w:t>
      </w:r>
    </w:p>
    <w:p w14:paraId="4FB027AA" w14:textId="77777777" w:rsidR="00720DED"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 xml:space="preserve">The Bank confirmed 95% of its data had been encrypted; the Bank also stated that they have already addressed the exploit that was utilised by the attackers in order to breach the application they targeted. There is no evidence to suggest that any additional data, or that any system(s) were impacted as a result of this attack; the Bank did confirm that the breach resulted from brute force password guessing attempts against an unknown application. After the attack, the Bank contacted every account holder whose account was impacted by the breach to allow them to reset their passwords. </w:t>
      </w:r>
    </w:p>
    <w:p w14:paraId="33EE947A"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lastRenderedPageBreak/>
        <w:t>In 2018, The European Central Bank was subject to a malware attack that compromised the contact information for approximately 500 subscribers when hackers breached the bank’s “Integrated Reporting Dictionary” (BIRD). After the attack, the Information Commissioner's Office fined the Bank £183 million – the largest fine ever issued to date -- but, in October 2020, British Airways paid a significantly smaller penalty ($26 million / £20 million) for failing to sufficiently protect the personally identifiable information of its customers and the data of those individuals impacted by the breach.</w:t>
      </w:r>
    </w:p>
    <w:p w14:paraId="62C2DF7D"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In 2015, the Permanent Court of Arbitration (PCA) in The Hague was the victim of a cyberattack while the court was conducting an arbitration hearing involving the Philippines and China (the South China Sea dispute); hackers compromised the PCA’s website that contained publicly available documents relating to the case and made publically known vulnerabilities in the confidentiality of the arbitral process</w:t>
      </w:r>
      <w:r>
        <w:rPr>
          <w:rFonts w:asciiTheme="majorBidi" w:hAnsiTheme="majorBidi" w:cstheme="majorBidi"/>
        </w:rPr>
        <w:t>.</w:t>
      </w:r>
      <w:r>
        <w:rPr>
          <w:rStyle w:val="FootnoteReference"/>
          <w:rFonts w:asciiTheme="majorBidi" w:hAnsiTheme="majorBidi" w:cstheme="majorBidi"/>
        </w:rPr>
        <w:footnoteReference w:id="9"/>
      </w:r>
      <w:r>
        <w:rPr>
          <w:rFonts w:asciiTheme="majorBidi" w:hAnsiTheme="majorBidi" w:cstheme="majorBidi"/>
        </w:rPr>
        <w:t xml:space="preserve"> </w:t>
      </w:r>
    </w:p>
    <w:p w14:paraId="6904B013" w14:textId="77777777" w:rsidR="00F073C0" w:rsidRPr="008819FD" w:rsidRDefault="00F073C0" w:rsidP="003E1FC3">
      <w:pPr>
        <w:shd w:val="clear" w:color="auto" w:fill="FFFFFF"/>
        <w:spacing w:after="0" w:line="480" w:lineRule="auto"/>
        <w:ind w:firstLine="720"/>
        <w:rPr>
          <w:rFonts w:asciiTheme="majorBidi" w:hAnsiTheme="majorBidi" w:cstheme="majorBidi"/>
        </w:rPr>
      </w:pPr>
      <w:r>
        <w:rPr>
          <w:rFonts w:asciiTheme="majorBidi" w:hAnsiTheme="majorBidi" w:cstheme="majorBidi"/>
        </w:rPr>
        <w:t>The recent hacking incident has been referred to as a turning point in the growing concern of cyber security in arbitral proceedings. The leak of sensitive information in relation to the case of Philippines v China (2016) was seen as undermining the legitimacy and credibility of the arbitral process. Similarly, with regard to parties involved in arbitration in the context of loyalty program data breach litigation (2023-24) parties have incurred significant financial losses including but limited to forensic auditing, upgrading their systems, and restoring their reputation; parties may also incur potential orders or be liable in accordance with data protection frameworks such as the GDPR and UAE PDPL.</w:t>
      </w:r>
      <w:r>
        <w:rPr>
          <w:rStyle w:val="FootnoteReference"/>
          <w:rFonts w:asciiTheme="majorBidi" w:hAnsiTheme="majorBidi" w:cstheme="majorBidi"/>
        </w:rPr>
        <w:footnoteReference w:id="10"/>
      </w:r>
      <w:r>
        <w:rPr>
          <w:rFonts w:asciiTheme="majorBidi" w:hAnsiTheme="majorBidi" w:cstheme="majorBidi"/>
        </w:rPr>
        <w:t xml:space="preserve"> </w:t>
      </w:r>
    </w:p>
    <w:p w14:paraId="73E3B7CB" w14:textId="77777777" w:rsidR="00F073C0" w:rsidRPr="008819FD" w:rsidRDefault="00F073C0" w:rsidP="003E1FC3">
      <w:pPr>
        <w:shd w:val="clear" w:color="auto" w:fill="FFFFFF"/>
        <w:spacing w:after="0" w:line="480" w:lineRule="auto"/>
        <w:ind w:firstLine="720"/>
        <w:rPr>
          <w:rFonts w:asciiTheme="majorBidi" w:hAnsiTheme="majorBidi" w:cstheme="majorBidi"/>
        </w:rPr>
      </w:pPr>
      <w:r>
        <w:rPr>
          <w:rFonts w:asciiTheme="majorBidi" w:hAnsiTheme="majorBidi" w:cstheme="majorBidi"/>
        </w:rPr>
        <w:lastRenderedPageBreak/>
        <w:t xml:space="preserve">Arbitrators have a professional responsibility for the prevention of digital intrusions into arbitration proceedings. However, Freshfields (2022), further states that users' loss of trust due to data breaches and the institutional burden created by them, create an additional system strain on the institution </w:t>
      </w:r>
      <w:r>
        <w:rPr>
          <w:rStyle w:val="FootnoteReference"/>
          <w:rFonts w:asciiTheme="majorBidi" w:eastAsia="Times New Roman" w:hAnsiTheme="majorBidi" w:cstheme="majorBidi"/>
          <w:color w:val="000000"/>
          <w:lang w:val="en-GB"/>
        </w:rPr>
        <w:footnoteReference w:id="11"/>
      </w:r>
    </w:p>
    <w:bookmarkEnd w:id="10"/>
    <w:bookmarkEnd w:id="11"/>
    <w:p w14:paraId="020EE05C" w14:textId="541C39C7" w:rsidR="00F073C0" w:rsidRPr="008819FD" w:rsidRDefault="00F073C0" w:rsidP="00CD0E06">
      <w:pPr>
        <w:pStyle w:val="NormalWeb"/>
        <w:spacing w:line="480" w:lineRule="auto"/>
        <w:ind w:firstLine="720"/>
        <w:rPr>
          <w:rFonts w:asciiTheme="majorBidi" w:hAnsiTheme="majorBidi" w:cstheme="majorBidi"/>
        </w:rPr>
      </w:pPr>
      <w:r>
        <w:rPr>
          <w:rFonts w:asciiTheme="majorBidi" w:hAnsiTheme="majorBidi" w:cstheme="majorBidi"/>
        </w:rPr>
        <w:t xml:space="preserve">While the adoption of advanced cybersecurity technologies has become prevalent in practice, the critical question particularly in the context of this study is whether a sufficient legal framework exists in the UAE that underpins and mandates their use in online arbitration. Currently, the UAE has enacted general legislation on data protection, most notably Federal Decree-Law No. 45 of 2021 on the Protection of Personal Data, which provides a statutory foundation for safeguarding personal and commercial information in digital transactions. However, this legislation does not explicitly regulate the technological standards to be applied in arbitration proceedings. In the arbitration context, therefore, much of the reliance is placed on “soft law” instruments, such as the 2020 ICCA–NYC Bar–CPR Cybersecurity Protocol for International Arbitration and institutional guidelines developed by the Dubai International Arbitration Centre  (DIAC) and the </w:t>
      </w:r>
      <w:r w:rsidR="00CD0E06">
        <w:rPr>
          <w:rFonts w:asciiTheme="majorBidi" w:hAnsiTheme="majorBidi" w:cstheme="majorBidi"/>
        </w:rPr>
        <w:t>ADGM Dispute Resolution Hearing Centre (DRHC).</w:t>
      </w:r>
      <w:r>
        <w:rPr>
          <w:rFonts w:asciiTheme="majorBidi" w:hAnsiTheme="majorBidi" w:cstheme="majorBidi"/>
        </w:rPr>
        <w:t xml:space="preserve">. </w:t>
      </w:r>
    </w:p>
    <w:p w14:paraId="0FC1D568" w14:textId="77777777" w:rsidR="00F073C0" w:rsidRPr="008819FD" w:rsidRDefault="00F073C0" w:rsidP="003E1FC3">
      <w:pPr>
        <w:pStyle w:val="NormalWeb"/>
        <w:spacing w:line="480" w:lineRule="auto"/>
        <w:ind w:firstLine="720"/>
        <w:rPr>
          <w:rFonts w:asciiTheme="majorBidi" w:hAnsiTheme="majorBidi" w:cstheme="majorBidi"/>
        </w:rPr>
      </w:pPr>
      <w:r>
        <w:rPr>
          <w:rFonts w:asciiTheme="majorBidi" w:hAnsiTheme="majorBidi" w:cstheme="majorBidi"/>
        </w:rPr>
        <w:t xml:space="preserve">These frameworks are non-binding in nature, serving more as best-practice guidelines rather than mandatory requirements. The absence of detailed statutory provisions directly addressing the use of encryption, authentication mechanisms, or blockchain-secured storage in arbitration proceedings leaves practitioners dependent on the autonomy of parties and the discretion of arbitration institutions and arbitrators. While this offers flexibility, it also creates legal uncertainty regarding what cybersecurity protocols to be applied in ad hoc arbitration </w:t>
      </w:r>
      <w:r>
        <w:rPr>
          <w:rFonts w:asciiTheme="majorBidi" w:hAnsiTheme="majorBidi" w:cstheme="majorBidi"/>
        </w:rPr>
        <w:lastRenderedPageBreak/>
        <w:t>absent parties’ agreement, as well as with regards to liability in the event of a cybersecurity breach. Comparative experience shows that certain jurisdictions such as the European Union under the General Data Protection Regulation (GDPR), have established binding obligations that indirectly shape arbitration practice by requiring data controllers and processors to adopt specific safeguards. By contrast, in the UAE, the regulatory environment remains fragmented, relying more on a patchwork of general data protection laws and institutional “soft law” instruments rather than a comprehensive arbitration-specific cybersecurity framework. This raises an important policy question: whether the UAE should move towards enacting binding “hard law” rules that mandate minimum cybersecurity standards in arbitration, thereby providing greater certainty and enhancing confidence in online dispute resolution.</w:t>
      </w:r>
    </w:p>
    <w:p w14:paraId="1A24C22A" w14:textId="77777777" w:rsidR="00F073C0" w:rsidRPr="008819FD" w:rsidRDefault="00F073C0" w:rsidP="003E1FC3">
      <w:pPr>
        <w:pStyle w:val="NormalWeb"/>
        <w:spacing w:line="480" w:lineRule="auto"/>
        <w:ind w:firstLine="720"/>
        <w:rPr>
          <w:rFonts w:asciiTheme="majorBidi" w:hAnsiTheme="majorBidi" w:cstheme="majorBidi"/>
        </w:rPr>
      </w:pPr>
      <w:r>
        <w:rPr>
          <w:rFonts w:asciiTheme="majorBidi" w:hAnsiTheme="majorBidi" w:cstheme="majorBidi"/>
        </w:rPr>
        <w:t>Therefore, based on the research problem above, this study will be directed toward the resolution of the following research questions.</w:t>
      </w:r>
    </w:p>
    <w:p w14:paraId="0F398566" w14:textId="77777777" w:rsidR="00FF7155" w:rsidRPr="008819FD" w:rsidRDefault="00FF7155" w:rsidP="003E1FC3">
      <w:pPr>
        <w:pStyle w:val="NormalWeb"/>
        <w:spacing w:line="480" w:lineRule="auto"/>
        <w:ind w:firstLine="720"/>
        <w:rPr>
          <w:rFonts w:asciiTheme="majorBidi" w:hAnsiTheme="majorBidi" w:cstheme="majorBidi"/>
        </w:rPr>
      </w:pPr>
    </w:p>
    <w:p w14:paraId="2CBF601D" w14:textId="77777777" w:rsidR="00FF7155" w:rsidRPr="008819FD" w:rsidRDefault="00FF7155" w:rsidP="003E1FC3">
      <w:pPr>
        <w:pStyle w:val="NormalWeb"/>
        <w:spacing w:line="480" w:lineRule="auto"/>
        <w:ind w:firstLine="720"/>
        <w:rPr>
          <w:rFonts w:asciiTheme="majorBidi" w:hAnsiTheme="majorBidi" w:cstheme="majorBidi"/>
        </w:rPr>
      </w:pPr>
    </w:p>
    <w:p w14:paraId="44D70C01" w14:textId="77777777" w:rsidR="00FF7155" w:rsidRPr="008819FD" w:rsidRDefault="00FF7155" w:rsidP="003E1FC3">
      <w:pPr>
        <w:pStyle w:val="NormalWeb"/>
        <w:spacing w:line="480" w:lineRule="auto"/>
        <w:ind w:firstLine="720"/>
        <w:rPr>
          <w:rFonts w:asciiTheme="majorBidi" w:hAnsiTheme="majorBidi" w:cstheme="majorBidi"/>
        </w:rPr>
      </w:pPr>
    </w:p>
    <w:p w14:paraId="08F4698B" w14:textId="77777777" w:rsidR="00FF7155" w:rsidRPr="008819FD" w:rsidRDefault="00FF7155" w:rsidP="003E1FC3">
      <w:pPr>
        <w:pStyle w:val="NormalWeb"/>
        <w:spacing w:line="480" w:lineRule="auto"/>
        <w:ind w:firstLine="720"/>
        <w:rPr>
          <w:rFonts w:asciiTheme="majorBidi" w:hAnsiTheme="majorBidi" w:cstheme="majorBidi"/>
        </w:rPr>
      </w:pPr>
    </w:p>
    <w:p w14:paraId="2381B18B" w14:textId="77777777" w:rsidR="00F073C0" w:rsidRPr="008819FD" w:rsidRDefault="00F073C0" w:rsidP="009F5ACD">
      <w:pPr>
        <w:pStyle w:val="Heading3"/>
        <w:rPr>
          <w:rFonts w:asciiTheme="majorBidi" w:hAnsiTheme="majorBidi" w:cstheme="majorBidi"/>
        </w:rPr>
      </w:pPr>
      <w:bookmarkStart w:id="12" w:name="_Toc221804491"/>
      <w:r>
        <w:rPr>
          <w:rFonts w:asciiTheme="majorBidi" w:hAnsiTheme="majorBidi" w:cstheme="majorBidi"/>
        </w:rPr>
        <w:t>Research Questions</w:t>
      </w:r>
      <w:bookmarkEnd w:id="12"/>
    </w:p>
    <w:p w14:paraId="4184F63D" w14:textId="77777777" w:rsidR="00F073C0" w:rsidRPr="008819FD" w:rsidRDefault="00F073C0" w:rsidP="003E1FC3">
      <w:pPr>
        <w:spacing w:line="480" w:lineRule="auto"/>
        <w:ind w:firstLine="720"/>
        <w:rPr>
          <w:rFonts w:asciiTheme="majorBidi" w:hAnsiTheme="majorBidi" w:cstheme="majorBidi"/>
        </w:rPr>
      </w:pPr>
      <w:bookmarkStart w:id="13" w:name="_Toc190813251"/>
      <w:bookmarkStart w:id="14" w:name="_Toc208913449"/>
      <w:bookmarkStart w:id="15" w:name="_Toc209626899"/>
      <w:bookmarkStart w:id="16" w:name="_Toc217491535"/>
      <w:r>
        <w:rPr>
          <w:rFonts w:asciiTheme="majorBidi" w:hAnsiTheme="majorBidi" w:cstheme="majorBidi"/>
        </w:rPr>
        <w:t>The Main question:</w:t>
      </w:r>
      <w:bookmarkEnd w:id="13"/>
      <w:bookmarkEnd w:id="14"/>
      <w:bookmarkEnd w:id="15"/>
      <w:bookmarkEnd w:id="16"/>
    </w:p>
    <w:p w14:paraId="24E76CB6" w14:textId="77777777" w:rsidR="00F073C0" w:rsidRPr="008819FD" w:rsidRDefault="00F073C0" w:rsidP="003E1FC3">
      <w:pPr>
        <w:shd w:val="clear" w:color="auto" w:fill="FFFFFF"/>
        <w:spacing w:after="0" w:line="480" w:lineRule="auto"/>
        <w:ind w:firstLine="720"/>
        <w:rPr>
          <w:rFonts w:asciiTheme="majorBidi" w:hAnsiTheme="majorBidi" w:cstheme="majorBidi"/>
        </w:rPr>
      </w:pPr>
      <w:r>
        <w:rPr>
          <w:rFonts w:asciiTheme="majorBidi" w:hAnsiTheme="majorBidi" w:cstheme="majorBidi"/>
        </w:rPr>
        <w:lastRenderedPageBreak/>
        <w:t xml:space="preserve">Is there a need for government regulation of online arbitration in the UAE? </w:t>
      </w:r>
      <w:r>
        <w:rPr>
          <w:rFonts w:asciiTheme="majorBidi" w:hAnsiTheme="majorBidi" w:cstheme="majorBidi"/>
        </w:rPr>
        <w:cr/>
        <w:t>Sub-Questions:</w:t>
      </w:r>
      <w:r>
        <w:rPr>
          <w:rFonts w:asciiTheme="majorBidi" w:hAnsiTheme="majorBidi" w:cstheme="majorBidi"/>
        </w:rPr>
        <w:br/>
        <w:t>1. What are the main challenges relating to confidentiality and protection of data in online</w:t>
      </w:r>
    </w:p>
    <w:p w14:paraId="5D4240D5" w14:textId="77777777" w:rsidR="00F073C0" w:rsidRPr="008819FD" w:rsidRDefault="00F073C0" w:rsidP="003E1FC3">
      <w:pPr>
        <w:shd w:val="clear" w:color="auto" w:fill="FFFFFF"/>
        <w:spacing w:after="0" w:line="480" w:lineRule="auto"/>
        <w:ind w:firstLine="720"/>
        <w:rPr>
          <w:rFonts w:asciiTheme="majorBidi" w:hAnsiTheme="majorBidi" w:cstheme="majorBidi"/>
        </w:rPr>
      </w:pPr>
      <w:r>
        <w:rPr>
          <w:rFonts w:asciiTheme="majorBidi" w:hAnsiTheme="majorBidi" w:cstheme="majorBidi"/>
        </w:rPr>
        <w:t>arbitration in the UAE?</w:t>
      </w:r>
    </w:p>
    <w:p w14:paraId="51BE067E" w14:textId="77777777" w:rsidR="00F073C0" w:rsidRPr="008819FD" w:rsidRDefault="00F073C0" w:rsidP="003E1FC3">
      <w:pPr>
        <w:shd w:val="clear" w:color="auto" w:fill="FFFFFF"/>
        <w:spacing w:after="0" w:line="480" w:lineRule="auto"/>
        <w:ind w:firstLine="720"/>
        <w:rPr>
          <w:rFonts w:asciiTheme="majorBidi" w:hAnsiTheme="majorBidi" w:cstheme="majorBidi"/>
        </w:rPr>
      </w:pPr>
      <w:r>
        <w:rPr>
          <w:rFonts w:asciiTheme="majorBidi" w:hAnsiTheme="majorBidi" w:cstheme="majorBidi"/>
        </w:rPr>
        <w:br/>
        <w:t>2.  How can the effectiveness of the confidentiality and data protection regulatory</w:t>
      </w:r>
    </w:p>
    <w:p w14:paraId="020BE4D2" w14:textId="77777777" w:rsidR="00F073C0" w:rsidRPr="008819FD" w:rsidRDefault="00F073C0" w:rsidP="003E1FC3">
      <w:pPr>
        <w:shd w:val="clear" w:color="auto" w:fill="FFFFFF"/>
        <w:spacing w:after="0" w:line="480" w:lineRule="auto"/>
        <w:ind w:firstLine="720"/>
        <w:rPr>
          <w:rFonts w:asciiTheme="majorBidi" w:hAnsiTheme="majorBidi" w:cstheme="majorBidi"/>
        </w:rPr>
      </w:pPr>
      <w:r>
        <w:rPr>
          <w:rFonts w:asciiTheme="majorBidi" w:hAnsiTheme="majorBidi" w:cstheme="majorBidi"/>
        </w:rPr>
        <w:t>framework in the UAE be enhanced?</w:t>
      </w:r>
    </w:p>
    <w:p w14:paraId="1D5605FC"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vertAlign w:val="superscript"/>
          <w:lang w:val="en-GB"/>
        </w:rPr>
      </w:pPr>
      <w:r>
        <w:rPr>
          <w:rFonts w:asciiTheme="majorBidi" w:eastAsia="Times New Roman" w:hAnsiTheme="majorBidi" w:cstheme="majorBidi"/>
          <w:color w:val="000000"/>
        </w:rPr>
        <w:t>The most controversial aspect besides arbitration's own settlement of disputes and legal framework concerning confidentiality and sensitivity of both party's data is that government entities implement mandatory regulations and agreements for the arbitral centre and parties. These regulations and agreements are important for protecting the interests of the parties and enhancing their trust in arbitration as an effective and dependable method of resolving disputes.</w:t>
      </w:r>
      <w:r>
        <w:rPr>
          <w:rFonts w:asciiTheme="majorBidi" w:eastAsia="Times New Roman" w:hAnsiTheme="majorBidi" w:cstheme="majorBidi"/>
          <w:color w:val="000000"/>
          <w:lang w:val="en-GB"/>
        </w:rPr>
        <w:t xml:space="preserve"> </w:t>
      </w:r>
      <w:r>
        <w:rPr>
          <w:rFonts w:asciiTheme="majorBidi" w:eastAsia="Times New Roman" w:hAnsiTheme="majorBidi" w:cstheme="majorBidi"/>
          <w:color w:val="000000"/>
          <w:vertAlign w:val="superscript"/>
          <w:lang w:val="en-GB"/>
        </w:rPr>
        <w:footnoteReference w:id="12"/>
      </w:r>
    </w:p>
    <w:p w14:paraId="08306926"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lang w:val="en-GB"/>
        </w:rPr>
        <w:t xml:space="preserve"> </w:t>
      </w:r>
      <w:r>
        <w:rPr>
          <w:rFonts w:asciiTheme="majorBidi" w:eastAsia="Times New Roman" w:hAnsiTheme="majorBidi" w:cstheme="majorBidi"/>
          <w:color w:val="000000"/>
        </w:rPr>
        <w:t xml:space="preserve">The research will therefore be focused on establishing whether it is appropriate for governments to take a role in whether government intervention is necessary to support and regulate online arbitration proceduresin enforcing arbitral procedures within the framework of an Online Dispute Resolution (ODR) system. In other words, the primary goal of this study is to investigate whether establishing regulations that protect the interests of parties involved in ODR systems by clearly defining their rights and confidentiality will ultimately provide </w:t>
      </w:r>
      <w:r>
        <w:rPr>
          <w:rFonts w:asciiTheme="majorBidi" w:eastAsia="Times New Roman" w:hAnsiTheme="majorBidi" w:cstheme="majorBidi"/>
          <w:color w:val="000000"/>
        </w:rPr>
        <w:lastRenderedPageBreak/>
        <w:t>greater advantages than establishing a national framework with differing, unregulated laws for each jurisdiction.</w:t>
      </w:r>
    </w:p>
    <w:p w14:paraId="443E7DB1" w14:textId="77777777" w:rsidR="00F073C0" w:rsidRPr="008819FD" w:rsidRDefault="00F073C0" w:rsidP="00663759">
      <w:pPr>
        <w:pStyle w:val="Heading2"/>
        <w:rPr>
          <w:rFonts w:asciiTheme="majorBidi" w:hAnsiTheme="majorBidi" w:cstheme="majorBidi"/>
          <w:sz w:val="24"/>
          <w:szCs w:val="24"/>
        </w:rPr>
      </w:pPr>
      <w:bookmarkStart w:id="17" w:name="_Toc221804492"/>
      <w:r>
        <w:rPr>
          <w:rFonts w:asciiTheme="majorBidi" w:hAnsiTheme="majorBidi" w:cstheme="majorBidi"/>
          <w:sz w:val="24"/>
          <w:szCs w:val="24"/>
        </w:rPr>
        <w:t>Justification of the Study</w:t>
      </w:r>
      <w:bookmarkEnd w:id="17"/>
      <w:r>
        <w:rPr>
          <w:rFonts w:asciiTheme="majorBidi" w:hAnsiTheme="majorBidi" w:cstheme="majorBidi"/>
          <w:sz w:val="24"/>
          <w:szCs w:val="24"/>
        </w:rPr>
        <w:t xml:space="preserve"> </w:t>
      </w:r>
    </w:p>
    <w:p w14:paraId="2C68D38E" w14:textId="77777777" w:rsidR="00F073C0" w:rsidRPr="008819FD" w:rsidRDefault="00F073C0" w:rsidP="003E1FC3">
      <w:pPr>
        <w:spacing w:line="480" w:lineRule="auto"/>
        <w:ind w:firstLine="720"/>
        <w:rPr>
          <w:rFonts w:asciiTheme="majorBidi" w:hAnsiTheme="majorBidi" w:cstheme="majorBidi"/>
        </w:rPr>
      </w:pPr>
      <w:r>
        <w:rPr>
          <w:rFonts w:asciiTheme="majorBidi" w:hAnsiTheme="majorBidi" w:cstheme="majorBidi"/>
        </w:rPr>
        <w:t>As a method for resolving disputes through arbitration (i.e., arbitration that does not take place in courts) online arbitration is important because it allows parties to a dispute to resolve their issue quickly and inexpensively, privately, fairly and finally. Additionally, since these services can be accessed online, they are particularly useful for individuals who are unable to physically visit an centre. The author chose to conduct this study due to concern about whether existing regulations were adequate to regulate the online arbitration process, as they have been designed to regulate the traditional arbitration process, and if litigants’ sensitive case information and data can be adequately protected from unlawful or unauthorised access.</w:t>
      </w:r>
      <w:r>
        <w:rPr>
          <w:rFonts w:asciiTheme="majorBidi" w:hAnsiTheme="majorBidi" w:cstheme="majorBidi"/>
        </w:rPr>
        <w:br/>
        <w:t>Furthermore, the UAE has embarked on a "Digital Transformation" in the upcoming few years as a strategic objective to enable all government transactions and registration, including the topics of conducting research, making processes easier for users to settle disputes via multiple avenues; e.g., online dispute resolution.</w:t>
      </w:r>
    </w:p>
    <w:p w14:paraId="4C88C9C6" w14:textId="77777777" w:rsidR="00FF7155" w:rsidRPr="008819FD" w:rsidRDefault="00FF7155" w:rsidP="003E1FC3">
      <w:pPr>
        <w:spacing w:line="480" w:lineRule="auto"/>
        <w:ind w:firstLine="720"/>
        <w:rPr>
          <w:rFonts w:asciiTheme="majorBidi" w:hAnsiTheme="majorBidi" w:cstheme="majorBidi"/>
        </w:rPr>
      </w:pPr>
    </w:p>
    <w:p w14:paraId="36B18CF1" w14:textId="77777777" w:rsidR="00FF7155" w:rsidRPr="008819FD" w:rsidRDefault="00FF7155" w:rsidP="003E1FC3">
      <w:pPr>
        <w:spacing w:line="480" w:lineRule="auto"/>
        <w:ind w:firstLine="720"/>
        <w:rPr>
          <w:rFonts w:asciiTheme="majorBidi" w:hAnsiTheme="majorBidi" w:cstheme="majorBidi"/>
        </w:rPr>
      </w:pPr>
    </w:p>
    <w:p w14:paraId="5478D57D" w14:textId="77777777" w:rsidR="00F073C0" w:rsidRPr="008819FD" w:rsidRDefault="00F073C0" w:rsidP="00663759">
      <w:pPr>
        <w:pStyle w:val="Heading2"/>
        <w:rPr>
          <w:rFonts w:asciiTheme="majorBidi" w:hAnsiTheme="majorBidi" w:cstheme="majorBidi"/>
          <w:sz w:val="24"/>
          <w:szCs w:val="24"/>
        </w:rPr>
      </w:pPr>
      <w:bookmarkStart w:id="18" w:name="_Toc221804493"/>
      <w:r>
        <w:rPr>
          <w:rFonts w:asciiTheme="majorBidi" w:hAnsiTheme="majorBidi" w:cstheme="majorBidi"/>
          <w:sz w:val="24"/>
          <w:szCs w:val="24"/>
        </w:rPr>
        <w:lastRenderedPageBreak/>
        <w:t>Research Objectives and Aims</w:t>
      </w:r>
      <w:bookmarkEnd w:id="18"/>
    </w:p>
    <w:p w14:paraId="3AA2F161" w14:textId="77777777" w:rsidR="00F073C0" w:rsidRPr="008819FD" w:rsidRDefault="00F073C0" w:rsidP="009F5ACD">
      <w:pPr>
        <w:pStyle w:val="Heading3"/>
        <w:rPr>
          <w:rFonts w:asciiTheme="majorBidi" w:hAnsiTheme="majorBidi" w:cstheme="majorBidi"/>
        </w:rPr>
      </w:pPr>
      <w:bookmarkStart w:id="19" w:name="_Toc221804494"/>
      <w:r>
        <w:rPr>
          <w:rFonts w:asciiTheme="majorBidi" w:hAnsiTheme="majorBidi" w:cstheme="majorBidi"/>
        </w:rPr>
        <w:t>Aims of the Research</w:t>
      </w:r>
      <w:bookmarkEnd w:id="19"/>
    </w:p>
    <w:p w14:paraId="1812EF55" w14:textId="77777777" w:rsidR="00F073C0" w:rsidRPr="008819FD" w:rsidRDefault="00F073C0" w:rsidP="003E1FC3">
      <w:pPr>
        <w:pStyle w:val="NormalWeb"/>
        <w:spacing w:line="480" w:lineRule="auto"/>
        <w:ind w:firstLine="720"/>
        <w:rPr>
          <w:rFonts w:asciiTheme="majorBidi" w:hAnsiTheme="majorBidi" w:cstheme="majorBidi"/>
          <w:color w:val="000000"/>
          <w:lang w:val="en-GB"/>
        </w:rPr>
      </w:pPr>
      <w:r>
        <w:rPr>
          <w:rFonts w:asciiTheme="majorBidi" w:hAnsiTheme="majorBidi" w:cstheme="majorBidi"/>
          <w:color w:val="000000"/>
          <w:lang w:val="en-GB"/>
        </w:rPr>
        <w:t>The primary purpose of this study will be to enhance the online arbitration methods within the UAE. This means that this study has two key objectives (broad) to achieve through this research:</w:t>
      </w:r>
    </w:p>
    <w:p w14:paraId="2974423C" w14:textId="77777777" w:rsidR="00F073C0" w:rsidRPr="008819FD" w:rsidRDefault="00F073C0" w:rsidP="003E1FC3">
      <w:pPr>
        <w:pStyle w:val="NormalWeb"/>
        <w:spacing w:line="480" w:lineRule="auto"/>
        <w:ind w:firstLine="720"/>
        <w:rPr>
          <w:rFonts w:asciiTheme="majorBidi" w:hAnsiTheme="majorBidi" w:cstheme="majorBidi"/>
        </w:rPr>
      </w:pPr>
      <w:r>
        <w:rPr>
          <w:rFonts w:asciiTheme="majorBidi" w:hAnsiTheme="majorBidi" w:cstheme="majorBidi"/>
          <w:color w:val="000000"/>
          <w:lang w:val="en-GB"/>
        </w:rPr>
        <w:br/>
      </w:r>
      <w:r>
        <w:rPr>
          <w:rFonts w:asciiTheme="majorBidi" w:hAnsiTheme="majorBidi" w:cstheme="majorBidi"/>
        </w:rPr>
        <w:t>1. To assess whether the current legal framework regarding the confidentiality and protection of information in online arbitration in the UAE is adequate and effective.</w:t>
      </w:r>
      <w:r>
        <w:rPr>
          <w:rFonts w:asciiTheme="majorBidi" w:hAnsiTheme="majorBidi" w:cstheme="majorBidi"/>
        </w:rPr>
        <w:br/>
        <w:t>2. To provide guidance as to how to enhance the legal framework for online arbitration in the UAE.</w:t>
      </w:r>
    </w:p>
    <w:p w14:paraId="6C1DADAB" w14:textId="77777777" w:rsidR="00F073C0" w:rsidRPr="008819FD" w:rsidRDefault="00F073C0" w:rsidP="009F5ACD">
      <w:pPr>
        <w:pStyle w:val="Heading3"/>
        <w:rPr>
          <w:rFonts w:asciiTheme="majorBidi" w:hAnsiTheme="majorBidi" w:cstheme="majorBidi"/>
        </w:rPr>
      </w:pPr>
      <w:bookmarkStart w:id="20" w:name="_Toc221804495"/>
      <w:r>
        <w:rPr>
          <w:rFonts w:asciiTheme="majorBidi" w:hAnsiTheme="majorBidi" w:cstheme="majorBidi"/>
        </w:rPr>
        <w:t>Research Objectives</w:t>
      </w:r>
      <w:bookmarkEnd w:id="20"/>
    </w:p>
    <w:p w14:paraId="499C69F6" w14:textId="77777777" w:rsidR="00F073C0" w:rsidRPr="008819FD" w:rsidRDefault="00F073C0" w:rsidP="003E1FC3">
      <w:pPr>
        <w:pStyle w:val="NormalWeb"/>
        <w:spacing w:line="480" w:lineRule="auto"/>
        <w:ind w:firstLine="720"/>
        <w:rPr>
          <w:rFonts w:asciiTheme="majorBidi" w:hAnsiTheme="majorBidi" w:cstheme="majorBidi"/>
        </w:rPr>
      </w:pPr>
      <w:r>
        <w:rPr>
          <w:rFonts w:asciiTheme="majorBidi" w:hAnsiTheme="majorBidi" w:cstheme="majorBidi"/>
        </w:rPr>
        <w:t>The goals of this research will be accomplished via the following objectives:</w:t>
      </w:r>
      <w:r>
        <w:rPr>
          <w:rFonts w:asciiTheme="majorBidi" w:hAnsiTheme="majorBidi" w:cstheme="majorBidi"/>
        </w:rPr>
        <w:br/>
        <w:t>1. Identify the online arbitration regulatory systems and technologies used in the UAE; and assess whether they are applicable/relevant, and effective as such.</w:t>
      </w:r>
      <w:r>
        <w:rPr>
          <w:rFonts w:asciiTheme="majorBidi" w:hAnsiTheme="majorBidi" w:cstheme="majorBidi"/>
        </w:rPr>
        <w:br/>
        <w:t>2. Assess the best methods to protect parties’ confidential information, and the legal/technological requirements to protect confidential information using technology during an arbitration process.</w:t>
      </w:r>
      <w:r>
        <w:rPr>
          <w:rFonts w:asciiTheme="majorBidi" w:hAnsiTheme="majorBidi" w:cstheme="majorBidi"/>
        </w:rPr>
        <w:br/>
        <w:t>3. Determine proposed guidelines that can be used to improve the regulatory framework for confidentiality and data protection in online arbitration in the UAE.</w:t>
      </w:r>
    </w:p>
    <w:p w14:paraId="1099F17D" w14:textId="77777777" w:rsidR="00FF7155" w:rsidRPr="008819FD" w:rsidRDefault="00FF7155" w:rsidP="003E1FC3">
      <w:pPr>
        <w:pStyle w:val="NormalWeb"/>
        <w:spacing w:line="480" w:lineRule="auto"/>
        <w:ind w:firstLine="720"/>
        <w:rPr>
          <w:rFonts w:asciiTheme="majorBidi" w:hAnsiTheme="majorBidi" w:cstheme="majorBidi"/>
        </w:rPr>
      </w:pPr>
    </w:p>
    <w:p w14:paraId="7CD20A32" w14:textId="77777777" w:rsidR="00F073C0" w:rsidRPr="008819FD" w:rsidRDefault="00F073C0" w:rsidP="003E1FC3">
      <w:pPr>
        <w:pStyle w:val="Heading2"/>
        <w:ind w:firstLine="720"/>
        <w:rPr>
          <w:rFonts w:asciiTheme="majorBidi" w:hAnsiTheme="majorBidi" w:cstheme="majorBidi"/>
          <w:sz w:val="24"/>
          <w:szCs w:val="24"/>
        </w:rPr>
      </w:pPr>
      <w:bookmarkStart w:id="21" w:name="_Toc221804496"/>
      <w:r>
        <w:rPr>
          <w:rFonts w:asciiTheme="majorBidi" w:hAnsiTheme="majorBidi" w:cstheme="majorBidi"/>
          <w:sz w:val="24"/>
          <w:szCs w:val="24"/>
        </w:rPr>
        <w:lastRenderedPageBreak/>
        <w:t>Research Methodology</w:t>
      </w:r>
      <w:bookmarkEnd w:id="21"/>
    </w:p>
    <w:p w14:paraId="20DE0C70" w14:textId="77777777" w:rsidR="00F073C0" w:rsidRPr="008819FD" w:rsidRDefault="00F073C0" w:rsidP="003E1FC3">
      <w:pPr>
        <w:numPr>
          <w:ilvl w:val="0"/>
          <w:numId w:val="5"/>
        </w:numPr>
        <w:shd w:val="clear" w:color="auto" w:fill="FFFFFF"/>
        <w:tabs>
          <w:tab w:val="num" w:pos="720"/>
        </w:tabs>
        <w:spacing w:before="0" w:after="0" w:line="480" w:lineRule="auto"/>
        <w:ind w:left="0"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 xml:space="preserve">Qualitative study. </w:t>
      </w:r>
    </w:p>
    <w:p w14:paraId="018FEA4D" w14:textId="77777777" w:rsidR="00F073C0" w:rsidRPr="008819FD" w:rsidRDefault="00F073C0" w:rsidP="003E1FC3">
      <w:pPr>
        <w:numPr>
          <w:ilvl w:val="0"/>
          <w:numId w:val="5"/>
        </w:numPr>
        <w:shd w:val="clear" w:color="auto" w:fill="FFFFFF"/>
        <w:tabs>
          <w:tab w:val="num" w:pos="720"/>
        </w:tabs>
        <w:spacing w:before="0" w:after="0" w:line="480" w:lineRule="auto"/>
        <w:ind w:left="0"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Quantitative study.</w:t>
      </w:r>
    </w:p>
    <w:p w14:paraId="091C35A3" w14:textId="77777777" w:rsidR="00F073C0" w:rsidRPr="008819FD" w:rsidRDefault="00F073C0" w:rsidP="003E1FC3">
      <w:pPr>
        <w:numPr>
          <w:ilvl w:val="0"/>
          <w:numId w:val="5"/>
        </w:numPr>
        <w:shd w:val="clear" w:color="auto" w:fill="FFFFFF"/>
        <w:tabs>
          <w:tab w:val="num" w:pos="720"/>
        </w:tabs>
        <w:spacing w:before="0" w:after="0" w:line="480" w:lineRule="auto"/>
        <w:ind w:left="0"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Comparative Research Study.</w:t>
      </w:r>
    </w:p>
    <w:p w14:paraId="1A426165" w14:textId="77777777" w:rsidR="00F073C0" w:rsidRPr="008819FD" w:rsidRDefault="00F073C0" w:rsidP="003E1FC3">
      <w:pPr>
        <w:numPr>
          <w:ilvl w:val="0"/>
          <w:numId w:val="5"/>
        </w:numPr>
        <w:shd w:val="clear" w:color="auto" w:fill="FFFFFF"/>
        <w:tabs>
          <w:tab w:val="num" w:pos="720"/>
        </w:tabs>
        <w:spacing w:before="0" w:after="0" w:line="480" w:lineRule="auto"/>
        <w:ind w:left="0" w:firstLine="720"/>
        <w:rPr>
          <w:rFonts w:asciiTheme="majorBidi" w:eastAsia="Times New Roman" w:hAnsiTheme="majorBidi" w:cstheme="majorBidi"/>
          <w:color w:val="000000"/>
          <w:lang w:val="en-GB"/>
        </w:rPr>
      </w:pPr>
      <w:r>
        <w:rPr>
          <w:rFonts w:asciiTheme="majorBidi" w:hAnsiTheme="majorBidi" w:cstheme="majorBidi"/>
        </w:rPr>
        <w:t xml:space="preserve">Doctrinal legal analysis </w:t>
      </w:r>
    </w:p>
    <w:p w14:paraId="7F9F20FD"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The author has employed a combination of qualitative, quantitative, comparative and doctrinal research designs which were combined to provide an overall comprehension of both online commercial arbitration within the United Arab Emirates and its regulatory environment as it relates to the principles of confidentiality and data privacy.</w:t>
      </w:r>
    </w:p>
    <w:p w14:paraId="16C1826F" w14:textId="59E171B1" w:rsidR="00F073C0" w:rsidRPr="008819FD" w:rsidRDefault="00F073C0" w:rsidP="00CD0E06">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 xml:space="preserve">On the qualitative side, a phenomenological methodology has been applied to an interview schedule (a semi-structured format) of 15 local experts in arbitration. Panel members include arbitrators, counsel and institutional secretaries from academic and professional backgrounds at leading international arbitration institutions such as Dubai International Arbitration Centre  (DIAC), and </w:t>
      </w:r>
      <w:r w:rsidR="00CD0E06">
        <w:rPr>
          <w:rFonts w:asciiTheme="majorBidi" w:eastAsia="Times New Roman" w:hAnsiTheme="majorBidi" w:cstheme="majorBidi"/>
          <w:color w:val="000000"/>
        </w:rPr>
        <w:t xml:space="preserve">the ADGM Dispute Resolution Hearing Centre (DRHC). </w:t>
      </w:r>
      <w:r>
        <w:rPr>
          <w:rFonts w:asciiTheme="majorBidi" w:eastAsia="Times New Roman" w:hAnsiTheme="majorBidi" w:cstheme="majorBidi"/>
          <w:color w:val="000000"/>
        </w:rPr>
        <w:t>In terms of qualitative data, this study attempts to gain an in-depth insight into the thoughts, experiences and opinions of participants who are involved in either the conduct, submission and/or transmission of materials for arbitral processes in the UAE; with specific focus placed on those elements related to the implementation of the confidentiality rules and difficulties they experience in relation to their online proceedings.</w:t>
      </w:r>
    </w:p>
    <w:p w14:paraId="18B5A994"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 xml:space="preserve">In addition to the qualitative component of this research, a quantitative aspect was developed through a structured questionnaire, which was distributed to 45 professional individuals involved in arbitration, including arbitrators, legal consultants, and academics. The objective of the questionnaire was to gather feedback on perceptions of the effectiveness and </w:t>
      </w:r>
      <w:r>
        <w:rPr>
          <w:rFonts w:asciiTheme="majorBidi" w:eastAsia="Times New Roman" w:hAnsiTheme="majorBidi" w:cstheme="majorBidi"/>
          <w:color w:val="000000"/>
        </w:rPr>
        <w:lastRenderedPageBreak/>
        <w:t>efficiency of online arbitration in the UAE with regard to protection of sensitive data, and maintaining party confidentiality. As a result of using the questionnaire survey, additional quantitative data were collected, which extended the reach of coverage of the opinions of the professionals surveyed, provided a better representation of their views and allowed for the creation of statistical summaries of trends and levels of agreement among all the respondents.</w:t>
      </w:r>
      <w:r>
        <w:rPr>
          <w:rFonts w:asciiTheme="majorBidi" w:eastAsia="Times New Roman" w:hAnsiTheme="majorBidi" w:cstheme="majorBidi"/>
          <w:color w:val="000000"/>
        </w:rPr>
        <w:br/>
        <w:t>The empirical methodology used in this research, was coupled with a comparative methodology to evaluate how the laws and regulations of the UAE related to online arbitration, data protection and privacy compare to those of other jurisdictions in which there are more comprehensive and specific pieces of legislation related to these areas; in particular, the European Union.</w:t>
      </w:r>
    </w:p>
    <w:p w14:paraId="0C3750A9" w14:textId="77777777" w:rsidR="00F073C0" w:rsidRPr="008819FD" w:rsidRDefault="00F073C0" w:rsidP="003E1FC3">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The comparative methodology will use a combination of a doctrinal legal analysis, which examines statutory provisions, institutional rules, arbitral practices and judicial decisions, to identify the strengths and weaknesses of the current legislative and regulatory framework of the UAE with respect to online arbitration. This will allow for a nuanced, but integrated, understanding of the practical and legal aspects of online arbitration, by employing a range of methodologies; qualitative, quantitative, comparative and doctrinal. The details of the data collection process, sample selection methodology, types of data collection instruments used, and analytical techniques employed follow below in Chapter Five.</w:t>
      </w:r>
    </w:p>
    <w:p w14:paraId="411E1838" w14:textId="77777777" w:rsidR="00F073C0" w:rsidRPr="008819FD" w:rsidRDefault="00F073C0" w:rsidP="00663759">
      <w:pPr>
        <w:pStyle w:val="Heading2"/>
        <w:rPr>
          <w:rFonts w:asciiTheme="majorBidi" w:hAnsiTheme="majorBidi" w:cstheme="majorBidi"/>
          <w:sz w:val="24"/>
          <w:szCs w:val="24"/>
        </w:rPr>
      </w:pPr>
      <w:bookmarkStart w:id="22" w:name="_Toc221804497"/>
      <w:r>
        <w:rPr>
          <w:rFonts w:asciiTheme="majorBidi" w:hAnsiTheme="majorBidi" w:cstheme="majorBidi"/>
          <w:sz w:val="24"/>
          <w:szCs w:val="24"/>
        </w:rPr>
        <w:t>The Novelty of the Research</w:t>
      </w:r>
      <w:bookmarkEnd w:id="22"/>
    </w:p>
    <w:p w14:paraId="3A93F85B" w14:textId="77777777" w:rsidR="00F073C0" w:rsidRPr="008819FD" w:rsidRDefault="00F073C0" w:rsidP="003E1FC3">
      <w:pPr>
        <w:shd w:val="clear" w:color="auto" w:fill="FFFFFF"/>
        <w:spacing w:after="0" w:line="480" w:lineRule="auto"/>
        <w:ind w:firstLine="720"/>
        <w:rPr>
          <w:rFonts w:asciiTheme="majorBidi" w:eastAsia="Book Antiqua" w:hAnsiTheme="majorBidi" w:cstheme="majorBidi"/>
          <w:color w:val="000000"/>
        </w:rPr>
      </w:pPr>
      <w:r>
        <w:rPr>
          <w:rFonts w:asciiTheme="majorBidi" w:eastAsia="Book Antiqua" w:hAnsiTheme="majorBidi" w:cstheme="majorBidi"/>
          <w:color w:val="000000"/>
        </w:rPr>
        <w:t xml:space="preserve">The study has identified the weaknesses in the current legal framework as it applies to the protection of personal information and sensitive data in online arbitration; provide an analysis of the different technological measures that can be adopted to ensure confidentiality of information and data in online arbitration, and provide recommendations on how to enhance </w:t>
      </w:r>
      <w:r>
        <w:rPr>
          <w:rFonts w:asciiTheme="majorBidi" w:eastAsia="Book Antiqua" w:hAnsiTheme="majorBidi" w:cstheme="majorBidi"/>
          <w:color w:val="000000"/>
        </w:rPr>
        <w:lastRenderedPageBreak/>
        <w:t>the legal framework applicable to online arbitration in a manner that ensures the protection of sensitive data of the parties As such, there is a significant need to establish clear and comprehensive legislative framework to give certainty and clarity to the protection of confidential information and data in relation to online arbitration. The study addresses an area that has very little literature and few writers have previously addressed the subject in-depth. This means the study could provide a "window of opportunity" for legislation and centres to develop a new legal framework to support online arbitration.</w:t>
      </w:r>
    </w:p>
    <w:p w14:paraId="59AB96FF" w14:textId="77777777" w:rsidR="00F073C0" w:rsidRPr="008819FD" w:rsidRDefault="00F073C0" w:rsidP="00663759">
      <w:pPr>
        <w:pStyle w:val="Heading2"/>
        <w:rPr>
          <w:rFonts w:asciiTheme="majorBidi" w:hAnsiTheme="majorBidi" w:cstheme="majorBidi"/>
          <w:sz w:val="24"/>
          <w:szCs w:val="24"/>
        </w:rPr>
      </w:pPr>
      <w:bookmarkStart w:id="23" w:name="_Toc221804498"/>
      <w:r>
        <w:rPr>
          <w:rFonts w:asciiTheme="majorBidi" w:hAnsiTheme="majorBidi" w:cstheme="majorBidi"/>
          <w:sz w:val="24"/>
          <w:szCs w:val="24"/>
        </w:rPr>
        <w:t>Limitations of the Study</w:t>
      </w:r>
      <w:bookmarkEnd w:id="23"/>
      <w:r>
        <w:rPr>
          <w:rFonts w:asciiTheme="majorBidi" w:hAnsiTheme="majorBidi" w:cstheme="majorBidi"/>
          <w:sz w:val="24"/>
          <w:szCs w:val="24"/>
        </w:rPr>
        <w:t xml:space="preserve"> </w:t>
      </w:r>
    </w:p>
    <w:p w14:paraId="26CC899B" w14:textId="77777777" w:rsidR="00F073C0" w:rsidRPr="008819FD" w:rsidRDefault="00F073C0" w:rsidP="003E1FC3">
      <w:pPr>
        <w:shd w:val="clear" w:color="auto" w:fill="FFFFFF"/>
        <w:spacing w:after="0" w:line="480" w:lineRule="auto"/>
        <w:ind w:firstLine="720"/>
        <w:rPr>
          <w:rFonts w:asciiTheme="majorBidi" w:eastAsia="Book Antiqua" w:hAnsiTheme="majorBidi" w:cstheme="majorBidi"/>
          <w:color w:val="000000"/>
          <w:lang w:val="en-GB"/>
        </w:rPr>
      </w:pPr>
      <w:r>
        <w:rPr>
          <w:rFonts w:asciiTheme="majorBidi" w:eastAsia="Book Antiqua" w:hAnsiTheme="majorBidi" w:cstheme="majorBidi"/>
          <w:color w:val="000000"/>
          <w:lang w:val="en-GB"/>
        </w:rPr>
        <w:t>The primary limitation of the study is the number of participants. While large sample sizes are not always necessary for qualitative studies, the researcher had originally intended to collect a slightly larger group of respondents. Ultimately, fifteen participants agreed to participate in the study. The number of participants is sufficient to provide the depth required for qualitative research; however, it limits the variety of respondent perspectives that may enhance the findings.</w:t>
      </w:r>
    </w:p>
    <w:p w14:paraId="00C599C6" w14:textId="3DBB9BCE" w:rsidR="00F073C0" w:rsidRPr="008819FD" w:rsidRDefault="00CD0E06" w:rsidP="00663759">
      <w:pPr>
        <w:pStyle w:val="Heading2"/>
        <w:rPr>
          <w:rFonts w:asciiTheme="majorBidi" w:hAnsiTheme="majorBidi" w:cstheme="majorBidi"/>
          <w:sz w:val="24"/>
          <w:szCs w:val="24"/>
        </w:rPr>
      </w:pPr>
      <w:r>
        <w:rPr>
          <w:rFonts w:asciiTheme="majorBidi" w:eastAsia="Book Antiqua" w:hAnsiTheme="majorBidi" w:cstheme="majorBidi"/>
          <w:color w:val="000000"/>
          <w:lang w:val="en-GB"/>
        </w:rPr>
        <w:lastRenderedPageBreak/>
        <w:t>A second consideration concerns the scope of the legal framework analysed. This is more accurately characterised as a deliberate delimitation of the study than as a limitation in the sense of a shortcoming. The focus of this thesis is, by design, on the laws, rules and regulations relating to online arbitration in the UAE; a comparative examination of other jurisdictions therefore falls outside the boundaries deliberately set for this research. It is recommended, as a direction for future research, that subsequent studies build on this work by comparing the practice of online arbitration among GCC countries or in other geographic locations, which would provide valuable additional context for the analysis.</w:t>
      </w:r>
      <w:bookmarkStart w:id="24" w:name="_Toc221804499"/>
      <w:r w:rsidR="00F073C0">
        <w:rPr>
          <w:rFonts w:asciiTheme="majorBidi" w:hAnsiTheme="majorBidi" w:cstheme="majorBidi"/>
          <w:sz w:val="24"/>
          <w:szCs w:val="24"/>
        </w:rPr>
        <w:t>Conclusion</w:t>
      </w:r>
      <w:bookmarkEnd w:id="24"/>
      <w:r w:rsidR="00F073C0">
        <w:rPr>
          <w:rFonts w:asciiTheme="majorBidi" w:hAnsiTheme="majorBidi" w:cstheme="majorBidi"/>
          <w:sz w:val="24"/>
          <w:szCs w:val="24"/>
        </w:rPr>
        <w:t xml:space="preserve"> </w:t>
      </w:r>
    </w:p>
    <w:p w14:paraId="37A8F6CE" w14:textId="77777777" w:rsidR="00F073C0" w:rsidRPr="008819FD" w:rsidRDefault="00F073C0" w:rsidP="00FF7155">
      <w:pPr>
        <w:shd w:val="clear" w:color="auto" w:fill="FFFFFF"/>
        <w:spacing w:after="0" w:line="480" w:lineRule="auto"/>
        <w:ind w:firstLine="720"/>
        <w:rPr>
          <w:rFonts w:asciiTheme="majorBidi" w:eastAsia="Book Antiqua" w:hAnsiTheme="majorBidi" w:cstheme="majorBidi"/>
          <w:color w:val="000000"/>
        </w:rPr>
      </w:pPr>
      <w:r>
        <w:rPr>
          <w:rFonts w:asciiTheme="majorBidi" w:eastAsia="Book Antiqua" w:hAnsiTheme="majorBidi" w:cstheme="majorBidi"/>
          <w:color w:val="000000"/>
        </w:rPr>
        <w:t>This chapter provided a complete overview of the study by illustrating background, why the study is significant, what the objective of the study is, what the research questions are, and what the scope of the study is. This chapter further discussed the expanding relevance of online arbitration in today’s digital age, as businesses and individuals are seeking low-cost, fast, and accessible methods to resolve disputes with each other. The chapter identified the legal, technological, and security challenges related to online arbitration, which support the need for additional research to be conducted and provides a justification for conducting this study.</w:t>
      </w:r>
      <w:r>
        <w:rPr>
          <w:rFonts w:asciiTheme="majorBidi" w:eastAsia="Book Antiqua" w:hAnsiTheme="majorBidi" w:cstheme="majorBidi"/>
          <w:color w:val="000000"/>
        </w:rPr>
        <w:br/>
        <w:t>The contribution of this research is to add to the current body of knowledge related to online arbitration, specifically, it addresses the issues of legal enforceability, technology integration, and cybersecurity. As we become increasingly reliant on artificial intelligence (AI), blockchain, and cloud-based platforms for arbitration purposes, it is essential to understand the impact these technologies can have on due process, procedural fairness and enforceability, for both practitioners and policy makers.</w:t>
      </w:r>
      <w:r>
        <w:rPr>
          <w:rFonts w:asciiTheme="majorBidi" w:eastAsia="Book Antiqua" w:hAnsiTheme="majorBidi" w:cstheme="majorBidi"/>
          <w:color w:val="000000"/>
        </w:rPr>
        <w:br/>
        <w:t xml:space="preserve">This chapter has also established the research framework that outlines the objectives of the </w:t>
      </w:r>
      <w:r>
        <w:rPr>
          <w:rFonts w:asciiTheme="majorBidi" w:eastAsia="Book Antiqua" w:hAnsiTheme="majorBidi" w:cstheme="majorBidi"/>
          <w:color w:val="000000"/>
        </w:rPr>
        <w:lastRenderedPageBreak/>
        <w:t>study, why the study is important, and how the study is structured. The overall scope of the study and the primary research questions were outlined in this chapter and serve as the foundation for the remaining chapters of the study. The second chapter, Chapter Two: Literature Review, will provide a detailed examination of prior studies on online arbitration; including all legal, technological, and security aspects of the subject matter. Through a critical evaluation of prior studies, the next chapter will further establish the context of the research problem and identify the areas that this study will attempt to fill.</w:t>
      </w:r>
    </w:p>
    <w:p w14:paraId="68110750" w14:textId="77777777" w:rsidR="00F073C0" w:rsidRPr="008819FD" w:rsidRDefault="005A4670" w:rsidP="005A4670">
      <w:pPr>
        <w:pStyle w:val="Heading1"/>
        <w:rPr>
          <w:rFonts w:asciiTheme="majorBidi" w:hAnsiTheme="majorBidi" w:cstheme="majorBidi"/>
        </w:rPr>
      </w:pPr>
      <w:bookmarkStart w:id="25" w:name="_Toc221804500"/>
      <w:r>
        <w:rPr>
          <w:rFonts w:asciiTheme="majorBidi" w:hAnsiTheme="majorBidi" w:cstheme="majorBidi"/>
        </w:rPr>
        <w:t>: Conceptual Foundations of Online Arbitration and Associated Challenges – A Literature Review</w:t>
      </w:r>
      <w:bookmarkEnd w:id="25"/>
    </w:p>
    <w:p w14:paraId="7052827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With increased use of digital technology for the resolution of disputes, there is an emerging trend toward online arbitration an evolving area of study with substantial academic interest. With many businesses and individuals seeking alternative forms of dispute resolution specifically those which are more efficient, cost-effective and accessible than traditional forms of litigation or arbitration online arbitration offers a suitable option. The purpose of this chapter is to provide an overall review of prior research, and to examine key studies that address legal, technological and security-related aspects of online arbitration.</w:t>
      </w:r>
    </w:p>
    <w:p w14:paraId="28651456" w14:textId="77777777" w:rsidR="00F073C0" w:rsidRPr="008819FD" w:rsidRDefault="00F073C0" w:rsidP="00663759">
      <w:pPr>
        <w:pStyle w:val="Heading2"/>
        <w:rPr>
          <w:rFonts w:asciiTheme="majorBidi" w:hAnsiTheme="majorBidi" w:cstheme="majorBidi"/>
          <w:sz w:val="24"/>
          <w:szCs w:val="24"/>
        </w:rPr>
      </w:pPr>
      <w:bookmarkStart w:id="26" w:name="_Toc221804501"/>
      <w:r>
        <w:rPr>
          <w:rFonts w:asciiTheme="majorBidi" w:hAnsiTheme="majorBidi" w:cstheme="majorBidi"/>
          <w:sz w:val="24"/>
          <w:szCs w:val="24"/>
        </w:rPr>
        <w:t>Conceptual Overview of Online Arbitration</w:t>
      </w:r>
      <w:bookmarkEnd w:id="26"/>
    </w:p>
    <w:p w14:paraId="48C9E4C2" w14:textId="77777777" w:rsidR="00F073C0" w:rsidRPr="008819FD" w:rsidRDefault="00F073C0" w:rsidP="009F5ACD">
      <w:pPr>
        <w:pStyle w:val="Heading3"/>
        <w:rPr>
          <w:rFonts w:asciiTheme="majorBidi" w:hAnsiTheme="majorBidi" w:cstheme="majorBidi"/>
        </w:rPr>
      </w:pPr>
      <w:bookmarkStart w:id="27" w:name="_Toc221804502"/>
      <w:r>
        <w:rPr>
          <w:rFonts w:asciiTheme="majorBidi" w:hAnsiTheme="majorBidi" w:cstheme="majorBidi"/>
        </w:rPr>
        <w:t>Legal and Operational Definition of Online Arbitration</w:t>
      </w:r>
      <w:bookmarkEnd w:id="27"/>
    </w:p>
    <w:p w14:paraId="0459C531" w14:textId="27BACF9C" w:rsidR="00F073C0" w:rsidRPr="008819FD" w:rsidRDefault="00F073C0" w:rsidP="00157A6B">
      <w:pPr>
        <w:pStyle w:val="NormalWeb"/>
        <w:spacing w:line="480" w:lineRule="auto"/>
        <w:ind w:firstLine="720"/>
        <w:rPr>
          <w:rFonts w:asciiTheme="majorBidi" w:eastAsia="Calibri" w:hAnsiTheme="majorBidi" w:cstheme="majorBidi"/>
          <w:color w:val="000000"/>
          <w:lang w:bidi="ar-AE"/>
        </w:rPr>
      </w:pPr>
      <w:r>
        <w:rPr>
          <w:rFonts w:asciiTheme="majorBidi" w:hAnsiTheme="majorBidi" w:cstheme="majorBidi"/>
        </w:rPr>
        <w:t xml:space="preserve">Alternative Dispute Resolution (ADR) Online Arbitration is an Alternative Dispute Resolution process using digital technologies for remote arbitration procedures. As it is efficient, flexible and cost-effective online arbitration is used by increasing numbers of parties involved in cross-border transactions, international commercial disputes and e-commerce </w:t>
      </w:r>
      <w:r>
        <w:rPr>
          <w:rFonts w:asciiTheme="majorBidi" w:hAnsiTheme="majorBidi" w:cstheme="majorBidi"/>
        </w:rPr>
        <w:lastRenderedPageBreak/>
        <w:t>disputes.</w:t>
      </w:r>
      <w:r w:rsidR="00157A6B" w:rsidRPr="00157A6B">
        <w:rPr>
          <w:rFonts w:asciiTheme="majorBidi" w:hAnsiTheme="majorBidi" w:cstheme="majorBidi"/>
        </w:rPr>
        <w:t xml:space="preserve"> </w:t>
      </w:r>
      <w:r w:rsidR="00157A6B">
        <w:rPr>
          <w:rFonts w:asciiTheme="majorBidi" w:hAnsiTheme="majorBidi" w:cstheme="majorBidi"/>
        </w:rPr>
        <w:t>Unlike traditional arbitration, in which the parties and arbitrators are physically present, the defining feature of online arbitration is that the proceedings are conducted electronically and, in whole or in part, remotely. These proceedings may, in some cases, be supported by additional technologies such as AI-assisted case management and blockchain-based documentation, although such tools are facilitative rather than constitutive of online arbitration.</w:t>
      </w:r>
      <w:r w:rsidR="00157A6B">
        <w:rPr>
          <w:rStyle w:val="FootnoteReference"/>
          <w:rFonts w:asciiTheme="majorBidi" w:eastAsia="Calibri" w:hAnsiTheme="majorBidi" w:cstheme="majorBidi"/>
          <w:color w:val="000000"/>
          <w:lang w:bidi="ar-AE"/>
        </w:rPr>
        <w:footnoteReference w:id="13"/>
      </w:r>
      <w:r w:rsidR="00157A6B">
        <w:rPr>
          <w:rFonts w:asciiTheme="majorBidi" w:eastAsia="Calibri" w:hAnsiTheme="majorBidi" w:cstheme="majorBidi"/>
          <w:color w:val="000000"/>
          <w:lang w:bidi="ar-AE"/>
        </w:rPr>
        <w:t>.</w:t>
      </w:r>
      <w:r>
        <w:rPr>
          <w:rFonts w:asciiTheme="majorBidi" w:hAnsiTheme="majorBidi" w:cstheme="majorBidi"/>
        </w:rPr>
        <w:t>.</w:t>
      </w:r>
      <w:r>
        <w:rPr>
          <w:rFonts w:asciiTheme="majorBidi" w:eastAsia="Calibri" w:hAnsiTheme="majorBidi" w:cstheme="majorBidi"/>
          <w:color w:val="000000"/>
          <w:lang w:bidi="ar-AE"/>
        </w:rPr>
        <w:t xml:space="preserve"> The primary elements of arbitration (party autonomy, enforceability of awards and neutral) are no different when a case is resolved through an electronic arbitration process; however, the way in which parties communicate with each other electronically, present evidence to be reviewed by the arbitrator, and receive their final decision will all be dramatically different than they would have been in traditional arbitration </w:t>
      </w:r>
      <w:r>
        <w:rPr>
          <w:rStyle w:val="FootnoteReference"/>
          <w:rFonts w:asciiTheme="majorBidi" w:eastAsia="Calibri" w:hAnsiTheme="majorBidi" w:cstheme="majorBidi"/>
          <w:color w:val="000000"/>
          <w:lang w:bidi="ar-AE"/>
        </w:rPr>
        <w:footnoteReference w:id="14"/>
      </w:r>
      <w:r>
        <w:rPr>
          <w:rFonts w:asciiTheme="majorBidi" w:eastAsia="Calibri" w:hAnsiTheme="majorBidi" w:cstheme="majorBidi"/>
          <w:color w:val="000000"/>
          <w:lang w:bidi="ar-AE"/>
        </w:rPr>
        <w:t>.</w:t>
      </w:r>
    </w:p>
    <w:p w14:paraId="02EE8CB2"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As a result of increased use of E-commerce and virtual legal procedures; the need for an e-arbitration process is becoming more prominent as companies and consumers alike are increasing their cross border business transactions, thus creating a need for quick, low cost and digitally based methods of resolving disputes.</w:t>
      </w:r>
    </w:p>
    <w:p w14:paraId="14983C5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Miller </w:t>
      </w:r>
      <w:r>
        <w:rPr>
          <w:rStyle w:val="FootnoteReference"/>
          <w:rFonts w:asciiTheme="majorBidi" w:eastAsia="Calibri" w:hAnsiTheme="majorBidi" w:cstheme="majorBidi"/>
          <w:color w:val="000000"/>
          <w:lang w:bidi="ar-AE"/>
        </w:rPr>
        <w:footnoteReference w:id="15"/>
      </w:r>
      <w:r>
        <w:rPr>
          <w:rFonts w:asciiTheme="majorBidi" w:eastAsia="Calibri" w:hAnsiTheme="majorBidi" w:cstheme="majorBidi"/>
          <w:color w:val="000000"/>
          <w:lang w:bidi="ar-AE"/>
        </w:rPr>
        <w:t xml:space="preserve"> argues that online arbitration extends beyond merely overcoming logistical constraints; it also substantially lowers the overall costs of arbitration by removing the need for travel, physical hearing venues, and paper-based documentation. In addition, online arbitration facilitates cross-border participation by allowing parties located in different </w:t>
      </w:r>
      <w:r>
        <w:rPr>
          <w:rFonts w:asciiTheme="majorBidi" w:eastAsia="Calibri" w:hAnsiTheme="majorBidi" w:cstheme="majorBidi"/>
          <w:color w:val="000000"/>
          <w:lang w:bidi="ar-AE"/>
        </w:rPr>
        <w:lastRenderedPageBreak/>
        <w:t xml:space="preserve">jurisdictions to engage in proceedings without being bound by the rigid procedural formalities typically imposed by national courts </w:t>
      </w:r>
      <w:r>
        <w:rPr>
          <w:rStyle w:val="FootnoteReference"/>
          <w:rFonts w:asciiTheme="majorBidi" w:eastAsia="Calibri" w:hAnsiTheme="majorBidi" w:cstheme="majorBidi"/>
          <w:color w:val="000000"/>
          <w:lang w:bidi="ar-AE"/>
        </w:rPr>
        <w:footnoteReference w:id="16"/>
      </w:r>
      <w:r>
        <w:rPr>
          <w:rFonts w:asciiTheme="majorBidi" w:eastAsia="Calibri" w:hAnsiTheme="majorBidi" w:cstheme="majorBidi"/>
          <w:color w:val="000000"/>
          <w:lang w:bidi="ar-AE"/>
        </w:rPr>
        <w:t>.</w:t>
      </w:r>
    </w:p>
    <w:p w14:paraId="2F50A25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Virtual arbitrations are implemented using a variety of forms of digital arbitration. These forms of digital arbitration include video conferencing for conducting virtual hearings; electronic submissions of documents; and electronic legal research utilizing artificial intelligence (AI). One of the more innovative ways in which online arbitration has used technology is by applying blockchain as a method for ensuring the integrity of all evidence and documentation. Blockchain-based "smart contracts" provide automated dispute resolution mechanisms that will automatically begin the process of arbitration once it detects a breach of contract with one of the parties involved. </w:t>
      </w:r>
      <w:r>
        <w:rPr>
          <w:rStyle w:val="FootnoteReference"/>
          <w:rFonts w:asciiTheme="majorBidi" w:eastAsia="Calibri" w:hAnsiTheme="majorBidi" w:cstheme="majorBidi"/>
          <w:color w:val="000000"/>
          <w:lang w:bidi="ar-AE"/>
        </w:rPr>
        <w:footnoteReference w:id="17"/>
      </w:r>
      <w:r>
        <w:rPr>
          <w:rFonts w:asciiTheme="majorBidi" w:eastAsia="Calibri" w:hAnsiTheme="majorBidi" w:cstheme="majorBidi"/>
          <w:color w:val="000000"/>
          <w:lang w:bidi="ar-AE"/>
        </w:rPr>
        <w:t>The use of AI-driven legal reasoning in arbitration is also gaining traction, with machine learning models being employed to analyse case precedents, assess evidence, and provide legal insights that aid arbitrators in decision-making.</w:t>
      </w:r>
      <w:r>
        <w:rPr>
          <w:rStyle w:val="FootnoteReference"/>
          <w:rFonts w:asciiTheme="majorBidi" w:eastAsia="Calibri" w:hAnsiTheme="majorBidi" w:cstheme="majorBidi"/>
          <w:color w:val="000000"/>
          <w:lang w:bidi="ar-AE"/>
        </w:rPr>
        <w:footnoteReference w:id="18"/>
      </w:r>
    </w:p>
    <w:p w14:paraId="4371ADD1" w14:textId="64C133A2" w:rsidR="00F073C0" w:rsidRPr="008819FD" w:rsidRDefault="00F073C0" w:rsidP="00157A6B">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Despite its advantages, online arbitration faces several challenges, particularly concerning enforceability. </w:t>
      </w:r>
      <w:r w:rsidR="00223311">
        <w:rPr>
          <w:rFonts w:asciiTheme="majorBidi" w:eastAsia="Calibri" w:hAnsiTheme="majorBidi" w:cstheme="majorBidi"/>
          <w:color w:val="000000"/>
          <w:lang w:bidi="ar-AE"/>
        </w:rPr>
        <w:t xml:space="preserve">Where an award is rendered entirely through digital means, a party resisting enforcement may seek to invoke one or more of the grounds set out in Article V of the New York Convention for instance, by alleging that it was unable to present its case or that the arbitral procedure was not in accordance with the agreement of the parties thereby raising questions of authentication, due process, and procedural fairness. </w:t>
      </w:r>
      <w:r>
        <w:rPr>
          <w:rFonts w:asciiTheme="majorBidi" w:eastAsia="Calibri" w:hAnsiTheme="majorBidi" w:cstheme="majorBidi"/>
          <w:color w:val="000000"/>
          <w:lang w:bidi="ar-AE"/>
        </w:rPr>
        <w:t xml:space="preserve"> In many legal systems, </w:t>
      </w:r>
      <w:r>
        <w:rPr>
          <w:rFonts w:asciiTheme="majorBidi" w:eastAsia="Calibri" w:hAnsiTheme="majorBidi" w:cstheme="majorBidi"/>
          <w:color w:val="000000"/>
          <w:lang w:bidi="ar-AE"/>
        </w:rPr>
        <w:lastRenderedPageBreak/>
        <w:t>arbitration agreements and awards still require physical signatures or documentation to be considered legally binding. As a result, there is a need for further legislative reform to effectively integrate online arbitration into national and international legal frameworks</w:t>
      </w:r>
      <w:r>
        <w:rPr>
          <w:rStyle w:val="FootnoteReference"/>
          <w:rFonts w:asciiTheme="majorBidi" w:eastAsia="Calibri" w:hAnsiTheme="majorBidi" w:cstheme="majorBidi"/>
          <w:color w:val="000000"/>
          <w:lang w:bidi="ar-AE"/>
        </w:rPr>
        <w:footnoteReference w:id="19"/>
      </w:r>
      <w:r>
        <w:rPr>
          <w:rFonts w:asciiTheme="majorBidi" w:eastAsia="Calibri" w:hAnsiTheme="majorBidi" w:cstheme="majorBidi"/>
          <w:color w:val="000000"/>
          <w:lang w:bidi="ar-AE"/>
        </w:rPr>
        <w:t>.</w:t>
      </w:r>
    </w:p>
    <w:p w14:paraId="7B25F135"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Data Security is an essential component of Online Arbitration. Commercial and Legal Data will be involved in arbitration which is sensitive so protecting that data from a Cyber Threat or unauthorised access and maintaining confidentiality are important for scholars. As such, scholars have stressed the use of Secure Encryption Protocols, Secure Data Storage Solutions, Multi-Factor Authentication and other mechanisms to prevent Hacking, Unauthorised Access, and Data Breaches from occurring on their Online Arbitration Proceedings.</w:t>
      </w:r>
      <w:r>
        <w:rPr>
          <w:rStyle w:val="FootnoteReference"/>
          <w:rFonts w:asciiTheme="majorBidi" w:eastAsia="Calibri" w:hAnsiTheme="majorBidi" w:cstheme="majorBidi"/>
          <w:color w:val="000000"/>
          <w:lang w:bidi="ar-AE"/>
        </w:rPr>
        <w:footnoteReference w:id="20"/>
      </w:r>
      <w:r>
        <w:rPr>
          <w:rFonts w:asciiTheme="majorBidi" w:eastAsia="Calibri" w:hAnsiTheme="majorBidi" w:cstheme="majorBidi"/>
          <w:color w:val="000000"/>
          <w:lang w:bidi="ar-AE"/>
        </w:rPr>
        <w:t>. Failure to implement adequate cybersecurity measures can lead to potential breaches that undermine the legitimacy and credibility of online arbitration.</w:t>
      </w:r>
    </w:p>
    <w:p w14:paraId="79A366A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International arbitration institution development, has been an important factor for the growth of online arbitration. The ICC, LCIA, SIAC etc., have amended their arbitration rules to allow use of digital forms of alternative dispute resolution. In addition, these organisations are establishing on-line arbitration systems that will provide both procedure integrity and adherence to established international law. They will be able to provide a complete, high-quality, on-line arbitration service</w:t>
      </w:r>
      <w:r>
        <w:rPr>
          <w:rStyle w:val="FootnoteReference"/>
          <w:rFonts w:asciiTheme="majorBidi" w:eastAsia="Calibri" w:hAnsiTheme="majorBidi" w:cstheme="majorBidi"/>
          <w:color w:val="000000"/>
          <w:lang w:bidi="ar-AE"/>
        </w:rPr>
        <w:footnoteReference w:id="21"/>
      </w:r>
      <w:r>
        <w:rPr>
          <w:rFonts w:asciiTheme="majorBidi" w:eastAsia="Calibri" w:hAnsiTheme="majorBidi" w:cstheme="majorBidi"/>
          <w:color w:val="000000"/>
          <w:lang w:bidi="ar-AE"/>
        </w:rPr>
        <w:t>.</w:t>
      </w:r>
    </w:p>
    <w:p w14:paraId="0CA5096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Online arbitration is an evolutionary change in resolving global disputes. Challenges exist regarding legal recognition of online arbitration, as well as issues of cyber security, and </w:t>
      </w:r>
      <w:r>
        <w:rPr>
          <w:rFonts w:asciiTheme="majorBidi" w:eastAsia="Calibri" w:hAnsiTheme="majorBidi" w:cstheme="majorBidi"/>
          <w:color w:val="000000"/>
          <w:lang w:bidi="ar-AE"/>
        </w:rPr>
        <w:lastRenderedPageBreak/>
        <w:t>procedural fairness. Nevertheless, technological development and continued development of law continues to influence the direction of online arbitration. Current research on digital mechanisms for resolving disputes suggests that with appropriate regulatory oversight and technological innovation; online arbitration can be recognized as a viable alternative to traditional arbitration and litigation</w:t>
      </w:r>
      <w:r>
        <w:rPr>
          <w:rStyle w:val="FootnoteReference"/>
          <w:rFonts w:asciiTheme="majorBidi" w:eastAsia="Calibri" w:hAnsiTheme="majorBidi" w:cstheme="majorBidi"/>
          <w:color w:val="000000"/>
          <w:lang w:bidi="ar-AE"/>
        </w:rPr>
        <w:footnoteReference w:id="22"/>
      </w:r>
      <w:r>
        <w:rPr>
          <w:rFonts w:asciiTheme="majorBidi" w:eastAsia="Calibri" w:hAnsiTheme="majorBidi" w:cstheme="majorBidi"/>
          <w:color w:val="000000"/>
          <w:lang w:bidi="ar-AE"/>
        </w:rPr>
        <w:t>.</w:t>
      </w:r>
    </w:p>
    <w:p w14:paraId="32658E74" w14:textId="77777777" w:rsidR="00F073C0" w:rsidRPr="008819FD" w:rsidRDefault="00F073C0" w:rsidP="009F5ACD">
      <w:pPr>
        <w:pStyle w:val="Heading3"/>
        <w:rPr>
          <w:rFonts w:asciiTheme="majorBidi" w:hAnsiTheme="majorBidi" w:cstheme="majorBidi"/>
        </w:rPr>
      </w:pPr>
      <w:bookmarkStart w:id="30" w:name="_Toc190813269"/>
      <w:bookmarkStart w:id="31" w:name="_Toc209626916"/>
      <w:bookmarkStart w:id="32" w:name="_Toc217491553"/>
      <w:bookmarkStart w:id="33" w:name="_Toc221804503"/>
      <w:r>
        <w:rPr>
          <w:rFonts w:asciiTheme="majorBidi" w:hAnsiTheme="majorBidi" w:cstheme="majorBidi"/>
        </w:rPr>
        <w:t>The Concept of Electronic Arbitration</w:t>
      </w:r>
      <w:bookmarkEnd w:id="30"/>
      <w:bookmarkEnd w:id="31"/>
      <w:bookmarkEnd w:id="32"/>
      <w:bookmarkEnd w:id="33"/>
    </w:p>
    <w:p w14:paraId="7D16C52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etymology of the word "electron" comes from Greek meaning "amber." This is due to the fact that the ancient Greeks noticed that when amber is rubbed it has the ability to attract light objects. "Electron" (noun) means a single unit or constant having a negative electrical charge, that is used in electronic devices and forms part of all atoms of all matter. "Electronic" (Electronic) is a term now being used concerning the electronic mind in offices, where computers use electrons to solve the most complicated mathematical problems in the least amount of time, and are now called computers. Another term "Electronic Brain" also was developed to describe a machine consisting of many machines, which can substitute for the human brain in solving the most difficult problems.</w:t>
      </w:r>
    </w:p>
    <w:p w14:paraId="6D96D1F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Terms like electronic litigation have also been referred to under other names such as electronic courts or electronic disputes that have an Electronic (E) designation in much the same manner of recent terms such as Electronic Security (E-Security), Electronic Economy (E-Economy), and Electronic Learning (E-Learning). The Electronic designation is a </w:t>
      </w:r>
      <w:r>
        <w:rPr>
          <w:rFonts w:asciiTheme="majorBidi" w:eastAsia="Calibri" w:hAnsiTheme="majorBidi" w:cstheme="majorBidi"/>
          <w:color w:val="000000"/>
          <w:lang w:bidi="ar-AE"/>
        </w:rPr>
        <w:lastRenderedPageBreak/>
        <w:t>standardization process for identifying new forms of electronic technology. Terms with the E-designation are recognized as the emerging forms of new technologies</w:t>
      </w:r>
      <w:r>
        <w:rPr>
          <w:rStyle w:val="FootnoteReference"/>
          <w:rFonts w:asciiTheme="majorBidi" w:eastAsia="Calibri" w:hAnsiTheme="majorBidi" w:cstheme="majorBidi"/>
        </w:rPr>
        <w:footnoteReference w:id="23"/>
      </w:r>
      <w:r>
        <w:rPr>
          <w:rFonts w:asciiTheme="majorBidi" w:eastAsia="Calibri" w:hAnsiTheme="majorBidi" w:cstheme="majorBidi"/>
        </w:rPr>
        <w:t>.</w:t>
      </w:r>
    </w:p>
    <w:p w14:paraId="4E01FEB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e-litigation processes are called "E-Judicial Proceedings". The term "Electronic Judiciary" and the use of Artificial Intelligence (AI) in what we know today as "Smart Courts" or "Smart Judges", is collectively referred to as "Smart Courts". Therefore, the term "electronic" relates to those technological methods involving electricity, digital signals, magnetism, radio waves, electromagnetic fields etc., which enable the conduct of arbitration via electronic media, methods and networks (including but limited to the virtual )</w:t>
      </w:r>
      <w:r>
        <w:rPr>
          <w:rStyle w:val="FootnoteReference"/>
          <w:rFonts w:asciiTheme="majorBidi" w:eastAsia="Calibri" w:hAnsiTheme="majorBidi" w:cstheme="majorBidi"/>
          <w:color w:val="000000"/>
          <w:lang w:bidi="ar-AE"/>
        </w:rPr>
        <w:footnoteReference w:id="24"/>
      </w:r>
      <w:r>
        <w:rPr>
          <w:rFonts w:asciiTheme="majorBidi" w:eastAsia="Calibri" w:hAnsiTheme="majorBidi" w:cstheme="majorBidi"/>
          <w:color w:val="000000"/>
          <w:lang w:bidi="ar-AE"/>
        </w:rPr>
        <w:t>.</w:t>
      </w:r>
    </w:p>
    <w:p w14:paraId="3D95BAC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definition of Arbitration in the legal context, refers to an agreement by two (or more) parties to resolve a matter (dispute) submitted to a particular individual(s) for resolution through some form of decision making outside of a Court of Law. Additionally, Electronic Arbitration is defined as an Arbitration process; which allows parties involved in a dispute arising from an electronic transaction to submit that dispute to an independent third party for determination/decision-making, via an agreement between those parties, utilizing technology (modern communications) different than traditional arbitration processes</w:t>
      </w:r>
      <w:r>
        <w:rPr>
          <w:rStyle w:val="FootnoteReference"/>
          <w:rFonts w:asciiTheme="majorBidi" w:eastAsia="Calibri" w:hAnsiTheme="majorBidi" w:cstheme="majorBidi"/>
          <w:color w:val="000000"/>
          <w:lang w:bidi="ar-AE"/>
        </w:rPr>
        <w:footnoteReference w:id="25"/>
      </w:r>
      <w:r>
        <w:rPr>
          <w:rFonts w:asciiTheme="majorBidi" w:eastAsia="Calibri" w:hAnsiTheme="majorBidi" w:cstheme="majorBidi"/>
          <w:color w:val="000000"/>
          <w:lang w:bidi="ar-AE"/>
        </w:rPr>
        <w:t>.</w:t>
      </w:r>
    </w:p>
    <w:p w14:paraId="342B274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Some others define e-ADR as being “an impartial third party rendering an arbitration ruling on a dispute arising between two parties so long as there have been meetings of the parties and arbitration rulings will be rendered via Virtual  (i.e., utilizing computer-based communications to enable all parties to participate in the meeting simultaneously with the Arbitrator, i.e., video conferencing).”</w:t>
      </w:r>
    </w:p>
    <w:p w14:paraId="768EB777" w14:textId="77777777" w:rsidR="00F073C0" w:rsidRPr="008819FD" w:rsidRDefault="00F073C0" w:rsidP="00663759">
      <w:pPr>
        <w:shd w:val="clear" w:color="auto" w:fill="FFFFFF"/>
        <w:spacing w:after="0" w:line="480" w:lineRule="auto"/>
        <w:ind w:firstLine="720"/>
        <w:rPr>
          <w:rFonts w:asciiTheme="majorBidi" w:hAnsiTheme="majorBidi" w:cstheme="majorBidi"/>
          <w:color w:val="000000"/>
        </w:rPr>
      </w:pPr>
      <w:r>
        <w:rPr>
          <w:rFonts w:asciiTheme="majorBidi" w:eastAsia="Calibri" w:hAnsiTheme="majorBidi" w:cstheme="majorBidi"/>
          <w:color w:val="000000"/>
          <w:lang w:bidi="ar-AE"/>
        </w:rPr>
        <w:lastRenderedPageBreak/>
        <w:t>Additionally some others define it as “an optional method for resolving disputes arising from electronic commerce which involves the selection of one or more arbitrators to render a binding decision regarding said disputes through the use of the Virtual .” It is also defined as a voluntary alternative dispute resolution method that utilises contemporary forms of communication to assign a neutral third party to make a binding and enforceable arbitration decision on the dispute at issue</w:t>
      </w:r>
      <w:r>
        <w:rPr>
          <w:rStyle w:val="FootnoteReference"/>
          <w:rFonts w:asciiTheme="majorBidi" w:eastAsia="Times New Roman" w:hAnsiTheme="majorBidi" w:cstheme="majorBidi"/>
          <w:color w:val="000000"/>
          <w:lang w:val="en-GB"/>
        </w:rPr>
        <w:footnoteReference w:id="26"/>
      </w:r>
      <w:r>
        <w:rPr>
          <w:rFonts w:asciiTheme="majorBidi" w:eastAsia="Times New Roman" w:hAnsiTheme="majorBidi" w:cstheme="majorBidi"/>
          <w:color w:val="000000"/>
          <w:lang w:val="en-GB"/>
        </w:rPr>
        <w:t xml:space="preserve">. </w:t>
      </w:r>
      <w:r>
        <w:rPr>
          <w:rFonts w:asciiTheme="majorBidi" w:hAnsiTheme="majorBidi" w:cstheme="majorBidi"/>
          <w:color w:val="000000"/>
        </w:rPr>
        <w:t>Some view it as the first of its kind judicial process where the parties choose to have their legal disputes resolved by an impartial third party (an electronic dispute resolution service provider) who agrees to appoint one or more people to act as the electronic arbitration tribunal to mediate the legal dispute using new communications technology and apply applicable regulations relating to the subject of the dispute and the dispute resolution process to render a legally enforceable decision</w:t>
      </w:r>
      <w:r>
        <w:rPr>
          <w:rStyle w:val="FootnoteReference"/>
          <w:rFonts w:asciiTheme="majorBidi" w:eastAsia="Times New Roman" w:hAnsiTheme="majorBidi" w:cstheme="majorBidi"/>
          <w:color w:val="000000"/>
          <w:lang w:val="en-GB"/>
        </w:rPr>
        <w:footnoteReference w:id="27"/>
      </w:r>
      <w:r>
        <w:rPr>
          <w:rFonts w:asciiTheme="majorBidi" w:eastAsia="Times New Roman" w:hAnsiTheme="majorBidi" w:cstheme="majorBidi"/>
          <w:color w:val="000000"/>
          <w:lang w:val="en-GB"/>
        </w:rPr>
        <w:t>.</w:t>
      </w:r>
    </w:p>
    <w:p w14:paraId="5C2146EA" w14:textId="77777777" w:rsidR="00F073C0" w:rsidRPr="008819FD" w:rsidRDefault="00F073C0" w:rsidP="00663759">
      <w:pPr>
        <w:shd w:val="clear" w:color="auto" w:fill="FFFFFF"/>
        <w:spacing w:after="0"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rPr>
        <w:t>Some researchers also indicate that the term "electronic arbitration" indicates an agreement between parties, in the terms of an arbitration provision or submission agreement, to choose an individual (one person) arbitrator or a panel (a group of people), by virtue of their ability to decide disputes that arise between each other electronically via an electronic communication system, and the decision is made electronically in order to bring resolution to the dispute as per the parties' agreement on applicable substantive law or according to the principles of fairness and justice where applicable since they did not agree on a law</w:t>
      </w:r>
      <w:r>
        <w:rPr>
          <w:rStyle w:val="FootnoteReference"/>
          <w:rFonts w:asciiTheme="majorBidi" w:eastAsia="Calibri" w:hAnsiTheme="majorBidi" w:cstheme="majorBidi"/>
          <w:color w:val="000000"/>
          <w:lang w:bidi="ar-AE"/>
        </w:rPr>
        <w:footnoteReference w:id="28"/>
      </w:r>
      <w:r>
        <w:rPr>
          <w:rFonts w:asciiTheme="majorBidi" w:eastAsia="Calibri" w:hAnsiTheme="majorBidi" w:cstheme="majorBidi"/>
          <w:color w:val="000000"/>
          <w:lang w:bidi="ar-AE"/>
        </w:rPr>
        <w:t>.</w:t>
      </w:r>
    </w:p>
    <w:p w14:paraId="03AA746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The parties may also reach an agreement that a computer would be acting as the arbitrator, in a specifically designed process for issues, with no human input, other than to utilise the computer to issue the arbitration award.</w:t>
      </w:r>
    </w:p>
    <w:p w14:paraId="3D411EEA" w14:textId="62E6ABF6" w:rsidR="00F073C0" w:rsidRPr="008819FD" w:rsidRDefault="00F073C0" w:rsidP="00157A6B">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It seems based on these definitions, that there exists confusion between "electronic arbitration", and "arbitration by electronic means", where they are both separate. Based on </w:t>
      </w:r>
      <w:r w:rsidR="00157A6B">
        <w:rPr>
          <w:rFonts w:asciiTheme="majorBidi" w:eastAsia="Calibri" w:hAnsiTheme="majorBidi" w:cstheme="majorBidi"/>
          <w:color w:val="000000"/>
          <w:lang w:bidi="ar-AE"/>
        </w:rPr>
        <w:t xml:space="preserve">the researcher </w:t>
      </w:r>
      <w:r>
        <w:rPr>
          <w:rFonts w:asciiTheme="majorBidi" w:eastAsia="Calibri" w:hAnsiTheme="majorBidi" w:cstheme="majorBidi"/>
          <w:color w:val="000000"/>
          <w:lang w:bidi="ar-AE"/>
        </w:rPr>
        <w:t>interpretation, electronic arbitration will be defined as an agreement made between natural or legal persons, in an electronic provision or agreement, to allow the use of electronic devices and means to facilitate the arbitration process; the parties to the arbitration, their respective agents, the arbitrators (all of whom are natural people), and/or an electronic arbitration panel (with virtual  presence) and a secretary if needed. This can include all phases of the arbitration process including the commencement of the arbitration process through the final arbitration ruling. The arbitration process may apply either traditional or electronic law as stipulated by the parties, or principles of justice and fairness in resolving claims arising under contracts which are both conventional and non-conventional</w:t>
      </w:r>
      <w:r>
        <w:rPr>
          <w:rStyle w:val="FootnoteReference"/>
          <w:rFonts w:asciiTheme="majorBidi" w:eastAsia="Calibri" w:hAnsiTheme="majorBidi" w:cstheme="majorBidi"/>
          <w:color w:val="000000"/>
          <w:lang w:bidi="ar-AE"/>
        </w:rPr>
        <w:footnoteReference w:id="29"/>
      </w:r>
      <w:r>
        <w:rPr>
          <w:rFonts w:asciiTheme="majorBidi" w:eastAsia="Calibri" w:hAnsiTheme="majorBidi" w:cstheme="majorBidi"/>
          <w:color w:val="000000"/>
          <w:lang w:bidi="ar-AE"/>
        </w:rPr>
        <w:t>.</w:t>
      </w:r>
    </w:p>
    <w:p w14:paraId="064BBC05"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 the other side, electronic arbitration relates to disputes, proceedings and subsequent electronic decisions based on traditional, electronic or other forms of law, and/or justice and fairness, to support electronic and commercial transactions between disputing parties. The electronic process itself (by artificial intelligence) can also generate rulings in place of a human arbitrator, using electronic dispute resolution processes, to resolve financial or accounting disputes resulting from traditional or electronic agreements; electronically issuing </w:t>
      </w:r>
      <w:r>
        <w:rPr>
          <w:rFonts w:asciiTheme="majorBidi" w:eastAsia="Calibri" w:hAnsiTheme="majorBidi" w:cstheme="majorBidi"/>
          <w:color w:val="000000"/>
          <w:lang w:bidi="ar-AE"/>
        </w:rPr>
        <w:lastRenderedPageBreak/>
        <w:t>an electronic decision, as per the electronic agreement on applicable electronic law or principles of justice and fairness</w:t>
      </w:r>
      <w:r>
        <w:rPr>
          <w:rStyle w:val="FootnoteReference"/>
          <w:rFonts w:asciiTheme="majorBidi" w:eastAsia="Calibri" w:hAnsiTheme="majorBidi" w:cstheme="majorBidi"/>
          <w:color w:val="000000"/>
          <w:lang w:bidi="ar-AE"/>
        </w:rPr>
        <w:footnoteReference w:id="30"/>
      </w:r>
      <w:r>
        <w:rPr>
          <w:rFonts w:asciiTheme="majorBidi" w:eastAsia="Calibri" w:hAnsiTheme="majorBidi" w:cstheme="majorBidi"/>
          <w:color w:val="000000"/>
          <w:lang w:bidi="ar-AE"/>
        </w:rPr>
        <w:t>.</w:t>
      </w:r>
    </w:p>
    <w:p w14:paraId="2278CA75" w14:textId="77777777" w:rsidR="00F073C0" w:rsidRPr="008819FD" w:rsidRDefault="00F073C0" w:rsidP="009F5ACD">
      <w:pPr>
        <w:pStyle w:val="Heading3"/>
        <w:rPr>
          <w:rFonts w:asciiTheme="majorBidi" w:hAnsiTheme="majorBidi" w:cstheme="majorBidi"/>
        </w:rPr>
      </w:pPr>
      <w:r>
        <w:rPr>
          <w:rFonts w:asciiTheme="majorBidi" w:hAnsiTheme="majorBidi" w:cstheme="majorBidi"/>
        </w:rPr>
        <w:t xml:space="preserve"> </w:t>
      </w:r>
      <w:bookmarkStart w:id="34" w:name="_Toc190813270"/>
      <w:bookmarkStart w:id="35" w:name="_Toc209626917"/>
      <w:bookmarkStart w:id="36" w:name="_Toc217491554"/>
      <w:bookmarkStart w:id="37" w:name="_Toc221804504"/>
      <w:r>
        <w:rPr>
          <w:rFonts w:asciiTheme="majorBidi" w:hAnsiTheme="majorBidi" w:cstheme="majorBidi"/>
        </w:rPr>
        <w:t>The Philosophical and Legal Basis of Electronic Arbitratio</w:t>
      </w:r>
      <w:bookmarkEnd w:id="34"/>
      <w:bookmarkEnd w:id="35"/>
      <w:bookmarkEnd w:id="36"/>
      <w:r>
        <w:rPr>
          <w:rFonts w:asciiTheme="majorBidi" w:hAnsiTheme="majorBidi" w:cstheme="majorBidi"/>
        </w:rPr>
        <w:t>n</w:t>
      </w:r>
      <w:bookmarkEnd w:id="37"/>
    </w:p>
    <w:p w14:paraId="0EFBBEA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philosophical foundation of electronic arbitration is evident in the following points:</w:t>
      </w:r>
    </w:p>
    <w:p w14:paraId="6ACDBF78" w14:textId="77777777" w:rsidR="00F073C0" w:rsidRPr="008819FD" w:rsidRDefault="00F073C0" w:rsidP="00663759">
      <w:pPr>
        <w:numPr>
          <w:ilvl w:val="0"/>
          <w:numId w:val="6"/>
        </w:numPr>
        <w:shd w:val="clear" w:color="auto" w:fill="FFFFFF"/>
        <w:spacing w:before="0" w:after="160" w:line="480" w:lineRule="auto"/>
        <w:ind w:left="360"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Arbitration plays a strategic role in fostering a secure investment environment by enhancing confidence in dispute resolution mechanisms for both local and international investors. The adoption of electronic arbitration further strengthens this role by enabling efficient and timely resolution of commercial and economic disputes, reducing procedural delays and significantly lowering costs associated with traditional arbitration processes.</w:t>
      </w:r>
    </w:p>
    <w:p w14:paraId="72373E46" w14:textId="77777777" w:rsidR="00F073C0" w:rsidRPr="008819FD" w:rsidRDefault="00F073C0" w:rsidP="00663759">
      <w:pPr>
        <w:numPr>
          <w:ilvl w:val="0"/>
          <w:numId w:val="6"/>
        </w:numPr>
        <w:shd w:val="clear" w:color="auto" w:fill="FFFFFF"/>
        <w:spacing w:before="0" w:after="160" w:line="480" w:lineRule="auto"/>
        <w:ind w:left="360"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integration of digital technologies into arbitral proceedings reflects a broader commitment to legal and institutional modernization. By embracing electronic platforms and advanced technological tools—including artificial intelligence—the UAE demonstrates its alignment with international best practices in dispute resolution and reinforces its position as a leading global hub for technological innovation in legal and commercial services</w:t>
      </w:r>
      <w:r>
        <w:rPr>
          <w:rStyle w:val="FootnoteReference"/>
          <w:rFonts w:asciiTheme="majorBidi" w:eastAsia="Calibri" w:hAnsiTheme="majorBidi" w:cstheme="majorBidi"/>
          <w:color w:val="000000"/>
          <w:lang w:bidi="ar-AE"/>
        </w:rPr>
        <w:footnoteReference w:id="31"/>
      </w:r>
      <w:r>
        <w:rPr>
          <w:rFonts w:asciiTheme="majorBidi" w:eastAsia="Calibri" w:hAnsiTheme="majorBidi" w:cstheme="majorBidi"/>
          <w:color w:val="000000"/>
          <w:lang w:bidi="ar-AE"/>
        </w:rPr>
        <w:t>.</w:t>
      </w:r>
    </w:p>
    <w:p w14:paraId="4C5D01FC" w14:textId="77777777" w:rsidR="00F073C0" w:rsidRPr="008819FD" w:rsidRDefault="00F073C0" w:rsidP="00663759">
      <w:pPr>
        <w:numPr>
          <w:ilvl w:val="0"/>
          <w:numId w:val="6"/>
        </w:numPr>
        <w:shd w:val="clear" w:color="auto" w:fill="FFFFFF"/>
        <w:spacing w:before="0" w:after="160" w:line="480" w:lineRule="auto"/>
        <w:ind w:left="360"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Electronic arbitration supports sustainable economic development by facilitating continuous investment flows, improving economic efficiency, and contributing to higher standards of living. Its underlying rationale is rooted in the need for dispute </w:t>
      </w:r>
      <w:r>
        <w:rPr>
          <w:rFonts w:asciiTheme="majorBidi" w:eastAsia="Calibri" w:hAnsiTheme="majorBidi" w:cstheme="majorBidi"/>
          <w:color w:val="000000"/>
          <w:lang w:bidi="ar-AE"/>
        </w:rPr>
        <w:lastRenderedPageBreak/>
        <w:t>resolution mechanisms that match the speed and complexity of modern digital commerce, while simultaneously preserving the confidentiality and integrity of commercial transactions and arbitral documents, ensuring access is restricted exclusively to the parties concerned.</w:t>
      </w:r>
      <w:r>
        <w:rPr>
          <w:rStyle w:val="FootnoteReference"/>
          <w:rFonts w:asciiTheme="majorBidi" w:eastAsia="Calibri" w:hAnsiTheme="majorBidi" w:cstheme="majorBidi"/>
          <w:color w:val="000000"/>
          <w:lang w:bidi="ar-AE"/>
        </w:rPr>
        <w:footnoteReference w:id="32"/>
      </w:r>
      <w:r>
        <w:rPr>
          <w:rFonts w:asciiTheme="majorBidi" w:eastAsia="Calibri" w:hAnsiTheme="majorBidi" w:cstheme="majorBidi"/>
          <w:color w:val="000000"/>
          <w:lang w:bidi="ar-AE"/>
        </w:rPr>
        <w:t>.</w:t>
      </w:r>
    </w:p>
    <w:p w14:paraId="2721F272" w14:textId="77777777" w:rsidR="00F073C0" w:rsidRPr="008819FD" w:rsidRDefault="00F073C0" w:rsidP="009F5ACD">
      <w:pPr>
        <w:pStyle w:val="Heading3"/>
        <w:rPr>
          <w:rFonts w:asciiTheme="majorBidi" w:hAnsiTheme="majorBidi" w:cstheme="majorBidi"/>
        </w:rPr>
      </w:pPr>
      <w:bookmarkStart w:id="39" w:name="_Toc221804505"/>
      <w:r>
        <w:rPr>
          <w:rFonts w:asciiTheme="majorBidi" w:hAnsiTheme="majorBidi" w:cstheme="majorBidi"/>
        </w:rPr>
        <w:t>The Legal Basis for Electronic Arbitration Procedures in the UAE</w:t>
      </w:r>
      <w:bookmarkEnd w:id="39"/>
    </w:p>
    <w:p w14:paraId="5C5EC75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legal basis for the conduct of electronic arbitration in the United Arab Emirates is primarily grounded in Federal Decree-Law No. 6 of 2018 on Arbitration. Several provisions of the Law—most notably Articles 7, 24, 28, 33, 35, and 41—collectively establish the regulatory framework that permits and governs the use of electronic means in arbitral proceedings, as outlined below:</w:t>
      </w:r>
    </w:p>
    <w:p w14:paraId="3B126332"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p>
    <w:p w14:paraId="4B74420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Article 7(2)(a) of the UAE Arbitration Law states:</w:t>
      </w:r>
    </w:p>
    <w:p w14:paraId="4616616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i/>
          <w:iCs/>
          <w:color w:val="000000"/>
          <w:lang w:bidi="ar-AE"/>
        </w:rPr>
        <w:t>"An arbitration agreement shall be deemed to satisfy the writing requirement in the following cases:</w:t>
      </w:r>
      <w:r>
        <w:rPr>
          <w:rFonts w:asciiTheme="majorBidi" w:eastAsia="Calibri" w:hAnsiTheme="majorBidi" w:cstheme="majorBidi"/>
          <w:i/>
          <w:iCs/>
          <w:color w:val="000000"/>
          <w:lang w:bidi="ar-AE"/>
        </w:rPr>
        <w:br/>
        <w:t>(a) If it is recorded in a document signed by the parties, or contained in exchanged correspondence or any other written means of communication, or made through an electronic message in accordance with the regulations in force in the state concerning electronic transactions."</w:t>
      </w:r>
    </w:p>
    <w:p w14:paraId="63A3C293"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legislator deliberately adopted the expression “written means of communication” in broad and flexible terms, allowing it to encompass electronic forms of communication. This </w:t>
      </w:r>
      <w:r>
        <w:rPr>
          <w:rFonts w:asciiTheme="majorBidi" w:eastAsia="Calibri" w:hAnsiTheme="majorBidi" w:cstheme="majorBidi"/>
          <w:color w:val="000000"/>
          <w:lang w:bidi="ar-AE"/>
        </w:rPr>
        <w:lastRenderedPageBreak/>
        <w:t>wording permits an expansive interpretation that includes electronic messages transmitted through email, social media platforms, mobile applications, and other digital communication technologies. Nevertheless, regardless of the medium used, the arbitration agreement must satisfy the statutory requirement of being in written form; failure to meet this requirement renders the agreement legally invalid, as expressly provided under Article 7(1).</w:t>
      </w:r>
    </w:p>
    <w:p w14:paraId="1C6C5B8B" w14:textId="77777777" w:rsidR="00F073C0" w:rsidRPr="008819FD" w:rsidRDefault="00F073C0" w:rsidP="00663759">
      <w:pPr>
        <w:shd w:val="clear" w:color="auto" w:fill="FFFFFF"/>
        <w:spacing w:line="480" w:lineRule="auto"/>
        <w:ind w:firstLine="720"/>
        <w:rPr>
          <w:rFonts w:asciiTheme="majorBidi" w:eastAsia="Calibri" w:hAnsiTheme="majorBidi" w:cstheme="majorBidi"/>
          <w:i/>
          <w:iCs/>
          <w:color w:val="000000"/>
          <w:lang w:bidi="ar-AE"/>
        </w:rPr>
      </w:pPr>
      <w:r>
        <w:rPr>
          <w:rFonts w:asciiTheme="majorBidi" w:eastAsia="Calibri" w:hAnsiTheme="majorBidi" w:cstheme="majorBidi"/>
          <w:color w:val="000000"/>
          <w:lang w:bidi="ar-AE"/>
        </w:rPr>
        <w:t>Article 24(1) of the UAE Arbitration Law states</w:t>
      </w:r>
      <w:r>
        <w:rPr>
          <w:rFonts w:asciiTheme="majorBidi" w:eastAsia="Calibri" w:hAnsiTheme="majorBidi" w:cstheme="majorBidi"/>
          <w:i/>
          <w:iCs/>
          <w:color w:val="000000"/>
          <w:lang w:bidi="ar-AE"/>
        </w:rPr>
        <w:t xml:space="preserve"> "The provisions in this section shall apply unless the parties agree otherwise (a) Any written message shall be deemed received if delivered personally to the recipient, or sent to their place of business, habitual residence, or the postal address known to both parties or specified in the arbitration agreement or the governing document of the relationship subject to arbitration.</w:t>
      </w:r>
    </w:p>
    <w:p w14:paraId="0400AAA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i/>
          <w:iCs/>
          <w:color w:val="000000"/>
          <w:lang w:bidi="ar-AE"/>
        </w:rPr>
        <w:t xml:space="preserve"> Suppose none of these addresses can be determined after a reasonable investigation. In that case, the written message shall be deemed received if sent to the recipient’s last known business address, habitual residence, or postal address via registered mail, courier services, or any other method that provides written proof of attempted delivery. The term 'postal address' includes any fax number or email address that the parties have previously used in their dealings or that one party has officially communicated to the other in its correspondence."</w:t>
      </w:r>
    </w:p>
    <w:p w14:paraId="28A09E1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 message will be considered to have been received on the day that it has been delivered in accordance with the laws contained herein. An electronic communication such as an email or fax will be considered to have been received on the date indicated in the transmission data of that communication, subject to proof of any error in transmission. In any event, a message shall be considered to have been received if it had been sent prior to 6:00 </w:t>
      </w:r>
      <w:r>
        <w:rPr>
          <w:rFonts w:asciiTheme="majorBidi" w:eastAsia="Calibri" w:hAnsiTheme="majorBidi" w:cstheme="majorBidi"/>
          <w:color w:val="000000"/>
          <w:lang w:bidi="ar-AE"/>
        </w:rPr>
        <w:lastRenderedPageBreak/>
        <w:t>p.m. (the end of the business day) in the recipient's country of domicile; in all other instances, the message shall be deemed to have been received the next working day.</w:t>
      </w:r>
      <w:r>
        <w:rPr>
          <w:rStyle w:val="FootnoteReference"/>
          <w:rFonts w:asciiTheme="majorBidi" w:eastAsia="Calibri" w:hAnsiTheme="majorBidi" w:cstheme="majorBidi"/>
          <w:color w:val="000000"/>
          <w:lang w:bidi="ar-AE"/>
        </w:rPr>
        <w:footnoteReference w:id="33"/>
      </w:r>
    </w:p>
    <w:p w14:paraId="34DEB4A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 The time period will commence the day following delivery of a written notice or any other form of correspondence; if the final date for compliance falls on a non-business day or an official holiday in the recipient's place of work, the time period will extend through to the next business day; all official holidays and non-business days that occur during the time period will be included in the calculation</w:t>
      </w:r>
      <w:r>
        <w:rPr>
          <w:rStyle w:val="FootnoteReference"/>
          <w:rFonts w:asciiTheme="majorBidi" w:eastAsia="Calibri" w:hAnsiTheme="majorBidi" w:cstheme="majorBidi"/>
          <w:color w:val="000000"/>
          <w:lang w:bidi="ar-AE"/>
        </w:rPr>
        <w:footnoteReference w:id="34"/>
      </w:r>
    </w:p>
    <w:p w14:paraId="5EC41BC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(d) The provisions of this article shall not apply to communications made during court proceedings.</w:t>
      </w:r>
    </w:p>
    <w:p w14:paraId="246B010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This provision indicates that arbitral notifications may be effected through electronic means and that electronic communications are legally recognised for this purpose. Accordingly, the rule applies both to arbitral proceedings conducted with the assistance of electronic tools and to arbitration processes that are entirely electronic in nature.</w:t>
      </w:r>
    </w:p>
    <w:p w14:paraId="381351EB" w14:textId="7E3EFF53"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Article 28(2)(b) of the UAE Arbitration Law states: </w:t>
      </w:r>
      <w:r>
        <w:rPr>
          <w:rFonts w:asciiTheme="majorBidi" w:eastAsia="Calibri" w:hAnsiTheme="majorBidi" w:cstheme="majorBidi"/>
          <w:i/>
          <w:iCs/>
          <w:color w:val="000000"/>
          <w:lang w:bidi="ar-AE"/>
        </w:rPr>
        <w:t>"Unless the parties agree otherwise, the arbitral tribunal may: (b) Hold arbitration sessions with the parties or conduct deliberations using modern communication technologies and electronic means. The arbitral tribunal shall deliver or send the session minutes to the parties."</w:t>
      </w:r>
    </w:p>
    <w:p w14:paraId="583A7F2F" w14:textId="465FDB9A" w:rsidR="00F073C0" w:rsidRPr="008819FD" w:rsidRDefault="00F073C0" w:rsidP="00157A6B">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this regard, an Arbitration Tribunal can hold sessions by electronic means </w:t>
      </w:r>
      <w:r w:rsidR="00157A6B">
        <w:rPr>
          <w:rFonts w:asciiTheme="majorBidi" w:eastAsia="Calibri" w:hAnsiTheme="majorBidi" w:cstheme="majorBidi"/>
          <w:color w:val="000000"/>
          <w:lang w:bidi="ar-AE"/>
        </w:rPr>
        <w:t xml:space="preserve">for example, email, secure online case-management platforms and video-conferencing) </w:t>
      </w:r>
      <w:r>
        <w:rPr>
          <w:rFonts w:asciiTheme="majorBidi" w:eastAsia="Calibri" w:hAnsiTheme="majorBidi" w:cstheme="majorBidi"/>
          <w:color w:val="000000"/>
          <w:lang w:bidi="ar-AE"/>
        </w:rPr>
        <w:t xml:space="preserve">and in addition to sessions for submitting proof and documents as well as for hearing purposes, they </w:t>
      </w:r>
      <w:r>
        <w:rPr>
          <w:rFonts w:asciiTheme="majorBidi" w:eastAsia="Calibri" w:hAnsiTheme="majorBidi" w:cstheme="majorBidi"/>
          <w:color w:val="000000"/>
          <w:lang w:bidi="ar-AE"/>
        </w:rPr>
        <w:lastRenderedPageBreak/>
        <w:t>can also deliberate electronically. Additionally, a Tribunal can send parties minutes of sessions through electronic means as well. This means that no longer is there a requirement for the physical presence of parties before an arbitral tribunal; it is now possible to conduct arbitration hearings and deliberation electronically and submit documents electronically.</w:t>
      </w:r>
      <w:r>
        <w:rPr>
          <w:rStyle w:val="FootnoteReference"/>
          <w:rFonts w:asciiTheme="majorBidi" w:eastAsia="Calibri" w:hAnsiTheme="majorBidi" w:cstheme="majorBidi"/>
          <w:color w:val="000000"/>
          <w:lang w:bidi="ar-AE"/>
        </w:rPr>
        <w:footnoteReference w:id="35"/>
      </w:r>
    </w:p>
    <w:p w14:paraId="572E0D9B"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Article 33(3) of the UAE Arbitration Law affirms: </w:t>
      </w:r>
      <w:r>
        <w:rPr>
          <w:rFonts w:asciiTheme="majorBidi" w:eastAsia="Calibri" w:hAnsiTheme="majorBidi" w:cstheme="majorBidi"/>
          <w:i/>
          <w:iCs/>
          <w:color w:val="000000"/>
          <w:lang w:bidi="ar-AE"/>
        </w:rPr>
        <w:t>"Sessions may be conducted using modern communication technologies that do not require the personal presence of the parties."</w:t>
      </w:r>
    </w:p>
    <w:p w14:paraId="1CCCE3D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This enhances arbitration logistics by saving time, effort, and costs associated with conducting electronic arbitration sessions, whether for evidence gathering, investigation, or hearings.</w:t>
      </w:r>
    </w:p>
    <w:p w14:paraId="7B4DF54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Article 35 of the UAE Arbitration Law states: </w:t>
      </w:r>
      <w:r>
        <w:rPr>
          <w:rFonts w:asciiTheme="majorBidi" w:eastAsia="Calibri" w:hAnsiTheme="majorBidi" w:cstheme="majorBidi"/>
          <w:i/>
          <w:iCs/>
          <w:color w:val="000000"/>
          <w:lang w:bidi="ar-AE"/>
        </w:rPr>
        <w:t>"The arbitral tribunal may hear witnesses, including expert witnesses, using modern communication technologies that do not require their physical presence at the session."</w:t>
      </w:r>
    </w:p>
    <w:p w14:paraId="78C8029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Accordingly, witnesses—whether factual or expert—may provide their testimony through videoconferencing platforms or other digital communication technologies, thereby facilitating efficient proceedings and supporting the timely administration of justice.</w:t>
      </w:r>
    </w:p>
    <w:p w14:paraId="2C17DAC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Article 41(6) of the UAE Arbitration Law states:</w:t>
      </w:r>
    </w:p>
    <w:p w14:paraId="2A30FD9B"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i/>
          <w:iCs/>
          <w:color w:val="000000"/>
          <w:lang w:bidi="ar-AE"/>
        </w:rPr>
        <w:t>"An arbitration award shall be deemed issued at the place of arbitration as stipulated in Article (28) of this law, even if signed by the members of the arbitral tribunal outside the place of arbitration, regardless of the method of signing—whether traditional or electronic—</w:t>
      </w:r>
      <w:r>
        <w:rPr>
          <w:rFonts w:asciiTheme="majorBidi" w:eastAsia="Calibri" w:hAnsiTheme="majorBidi" w:cstheme="majorBidi"/>
          <w:i/>
          <w:iCs/>
          <w:color w:val="000000"/>
          <w:lang w:bidi="ar-AE"/>
        </w:rPr>
        <w:lastRenderedPageBreak/>
        <w:t>whether signed by tribunal members in person or sent to each member separately for signing, or signed electronically unless the parties agree otherwise."</w:t>
      </w:r>
    </w:p>
    <w:p w14:paraId="347DD9B5"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This provision affirms that arbitral awards may be issued in electronic form, as recognised under Article 28 of the Arbitration Law. The legislator does not impose any particular mode of execution, expressly providing that the validity of the award is unaffected by the method of signing. This formulation allows for both conventional handwritten signatures and electronic signatures, provided that the applicable legal requirements are satisfied.</w:t>
      </w:r>
      <w:r>
        <w:rPr>
          <w:rStyle w:val="FootnoteReference"/>
          <w:rFonts w:asciiTheme="majorBidi" w:eastAsia="Calibri" w:hAnsiTheme="majorBidi" w:cstheme="majorBidi"/>
          <w:color w:val="000000"/>
          <w:lang w:bidi="ar-AE"/>
        </w:rPr>
        <w:footnoteReference w:id="36"/>
      </w:r>
      <w:r>
        <w:rPr>
          <w:rFonts w:asciiTheme="majorBidi" w:eastAsia="Calibri" w:hAnsiTheme="majorBidi" w:cstheme="majorBidi"/>
          <w:i/>
          <w:iCs/>
          <w:color w:val="000000"/>
          <w:lang w:bidi="ar-AE"/>
        </w:rPr>
        <w:t>"regardless of the method of signing,"</w:t>
      </w:r>
      <w:r>
        <w:rPr>
          <w:rFonts w:asciiTheme="majorBidi" w:eastAsia="Calibri" w:hAnsiTheme="majorBidi" w:cstheme="majorBidi"/>
          <w:color w:val="000000"/>
          <w:lang w:bidi="ar-AE"/>
        </w:rPr>
        <w:t xml:space="preserve"> meaning that the signature may be traditional or electronic</w:t>
      </w:r>
    </w:p>
    <w:p w14:paraId="5B15C9A5"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legal recognition of electronic signatures and documents is further reinforced by the UAE Evidence Law in Civil and Commercial Transactions, particularly Article 17 (bis), which establishes a comprehensive framework for electronic evidence. Under this provision, an electronic signature is defined as any set of letters, numbers, symbols, images, sounds, or other identifiers that uniquely attribute the signature to a specific person, in accordance with the Electronic Transactions and E-Commerce Law. Similarly, an electronic document encompasses any form of data or information created, transmitted, received, or stored through electronic information systems, regardless of its format or medium.</w:t>
      </w:r>
    </w:p>
    <w:p w14:paraId="6DE5B76C"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Crucially, electronic signatures are accorded the same legal effect as handwritten signatures, provided they comply with the conditions prescribed by the Electronic Transactions and E-Commerce Law. Likewise, electronic writings, records, documents, and </w:t>
      </w:r>
      <w:r>
        <w:rPr>
          <w:rFonts w:asciiTheme="majorBidi" w:eastAsia="Calibri" w:hAnsiTheme="majorBidi" w:cstheme="majorBidi"/>
          <w:color w:val="000000"/>
          <w:lang w:bidi="ar-AE"/>
        </w:rPr>
        <w:lastRenderedPageBreak/>
        <w:t>instruments possess the same evidentiary value as traditional written or official documents, subject to compliance with the statutory requirements governing electronic transactions.</w:t>
      </w:r>
    </w:p>
    <w:p w14:paraId="20BAAD7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Taken together, these provisions confirm the legal validity and enforceability of electronically issued and electronically signed arbitral awards within the UAE legal system, thereby supporting the broader adoption of electronic arbitration procedures.</w:t>
      </w:r>
    </w:p>
    <w:p w14:paraId="349C574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UAE legislator has also adopted the concept of "truncated arbitration", as stipulated in Articles 9(2) and 41(2), where Article 41(2) states:</w:t>
      </w:r>
    </w:p>
    <w:p w14:paraId="6CCC7A4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i/>
          <w:iCs/>
          <w:color w:val="000000"/>
          <w:lang w:bidi="ar-AE"/>
        </w:rPr>
        <w:t>"A majority decision shall issue an arbitration award if the arbitral tribunal consists of more than one arbitrator. If the arbitrators’ opinions are divided in a manner that prevents a majority decision, the presiding arbitrator shall issue the award unless the parties agree otherwise. In such a case, dissenting opinions must be recorded or attached to the award as an integral part of it."</w:t>
      </w:r>
    </w:p>
    <w:p w14:paraId="7B7D01C9" w14:textId="77777777" w:rsidR="00F073C0" w:rsidRPr="008819FD" w:rsidRDefault="00F073C0" w:rsidP="009F5ACD">
      <w:pPr>
        <w:pStyle w:val="Heading3"/>
        <w:rPr>
          <w:rFonts w:asciiTheme="majorBidi" w:hAnsiTheme="majorBidi" w:cstheme="majorBidi"/>
        </w:rPr>
      </w:pPr>
      <w:bookmarkStart w:id="41" w:name="_Toc190813272"/>
      <w:bookmarkStart w:id="42" w:name="_Toc209626919"/>
      <w:bookmarkStart w:id="43" w:name="_Toc217491556"/>
      <w:bookmarkStart w:id="44" w:name="_Toc221804506"/>
      <w:r>
        <w:rPr>
          <w:rFonts w:asciiTheme="majorBidi" w:hAnsiTheme="majorBidi" w:cstheme="majorBidi"/>
        </w:rPr>
        <w:t>Differences Between Traditional and Online Arbitration</w:t>
      </w:r>
      <w:bookmarkEnd w:id="41"/>
      <w:bookmarkEnd w:id="42"/>
      <w:bookmarkEnd w:id="43"/>
      <w:bookmarkEnd w:id="44"/>
    </w:p>
    <w:p w14:paraId="05BA7B2D"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 xml:space="preserve">Although traditional arbitration and online arbitration have many similarities, they are substantially different with regard to how they are executed, what technologies that are utilised during execution, and how flexible the procedure is and how it can be enforced. Traditionally, arbitration occurs through a structured process whereby parties to a dispute and the designated arbitrators meet at hearings and provide in-person testimony and evidence. Legal representatives may also attend these meetings as well. Additionally, all participants in this arbitration must follow a set of predetermined rules or procedures. Conversely, online arbitration utilises digital platforms and tools to allow parties to testify electronically from remote locations. Parties may also provide evidence electronically. Moreover, some online </w:t>
      </w:r>
      <w:r>
        <w:rPr>
          <w:rFonts w:asciiTheme="majorBidi" w:hAnsiTheme="majorBidi" w:cstheme="majorBidi"/>
        </w:rPr>
        <w:lastRenderedPageBreak/>
        <w:t xml:space="preserve">arbitration programs utilise Artificial Intelligence (AI) to assist in analyzing the law and/or making decisions </w:t>
      </w:r>
      <w:r>
        <w:rPr>
          <w:rStyle w:val="FootnoteReference"/>
          <w:rFonts w:asciiTheme="majorBidi" w:eastAsia="Calibri" w:hAnsiTheme="majorBidi" w:cstheme="majorBidi"/>
          <w:color w:val="000000"/>
          <w:lang w:bidi="ar-AE"/>
        </w:rPr>
        <w:footnoteReference w:id="37"/>
      </w:r>
      <w:r>
        <w:rPr>
          <w:rFonts w:asciiTheme="majorBidi" w:hAnsiTheme="majorBidi" w:cstheme="majorBidi"/>
        </w:rPr>
        <w:t>. As a result of increased use of technology, online arbitration is increasingly being used as an alternative to traditional arbitration, especially in cases involving parties from other countries due to the complexity of logistics and jurisdictional issues involved in traditional arbitration.</w:t>
      </w:r>
      <w:r>
        <w:rPr>
          <w:rStyle w:val="FootnoteReference"/>
          <w:rFonts w:asciiTheme="majorBidi" w:eastAsia="Calibri" w:hAnsiTheme="majorBidi" w:cstheme="majorBidi"/>
          <w:color w:val="000000"/>
          <w:lang w:bidi="ar-AE"/>
        </w:rPr>
        <w:footnoteReference w:id="38"/>
      </w:r>
      <w:r>
        <w:rPr>
          <w:rFonts w:asciiTheme="majorBidi" w:eastAsia="Calibri" w:hAnsiTheme="majorBidi" w:cstheme="majorBidi"/>
          <w:color w:val="000000"/>
          <w:lang w:bidi="ar-AE"/>
        </w:rPr>
        <w:t xml:space="preserve">The growing reliance on technology has made online arbitration an attractive alternative, particularly for international disputes where logistical and jurisdictional barriers often complicate traditional arbitration </w:t>
      </w:r>
      <w:r>
        <w:rPr>
          <w:rStyle w:val="FootnoteReference"/>
          <w:rFonts w:asciiTheme="majorBidi" w:eastAsia="Calibri" w:hAnsiTheme="majorBidi" w:cstheme="majorBidi"/>
          <w:color w:val="000000"/>
          <w:lang w:bidi="ar-AE"/>
        </w:rPr>
        <w:footnoteReference w:id="39"/>
      </w:r>
      <w:r>
        <w:rPr>
          <w:rFonts w:asciiTheme="majorBidi" w:eastAsia="Calibri" w:hAnsiTheme="majorBidi" w:cstheme="majorBidi"/>
          <w:color w:val="000000"/>
          <w:lang w:bidi="ar-AE"/>
        </w:rPr>
        <w:t>.</w:t>
      </w:r>
    </w:p>
    <w:p w14:paraId="5E142A4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Another notable distinction is cost efficiency. Traditional arbitration is typically associated with considerable expense; such as rental fees for the venue, travel costs of the arbitrators, etc., which are all considered administrative costs. In this respect, online arbitration has the capacity to dramatically lower these costs through the use of cloud based platforms, AI assisted dispute resolution, and digital documentation, so that arbitration can be a more affordable method of dispute resolution for both individuals and businesses (Taylor, 2024). The studies show that online arbitration has the potential to lower the total cost of dispute resolution by up to 40% and therefore provide an attractive alternative to SME's who do not have the resources to engage in lengthy and expensive arbitration hearings</w:t>
      </w:r>
      <w:r>
        <w:rPr>
          <w:rStyle w:val="FootnoteReference"/>
          <w:rFonts w:asciiTheme="majorBidi" w:eastAsia="Calibri" w:hAnsiTheme="majorBidi" w:cstheme="majorBidi"/>
          <w:color w:val="000000"/>
          <w:lang w:bidi="ar-AE"/>
        </w:rPr>
        <w:footnoteReference w:id="40"/>
      </w:r>
    </w:p>
    <w:p w14:paraId="46A6400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Due to its remote nature, the security issues associated with on-line arbitration are much greater than those associated with traditional arbitration. Arbitration in a physical setting </w:t>
      </w:r>
      <w:r>
        <w:rPr>
          <w:rFonts w:asciiTheme="majorBidi" w:eastAsia="Calibri" w:hAnsiTheme="majorBidi" w:cstheme="majorBidi"/>
          <w:color w:val="000000"/>
          <w:lang w:bidi="ar-AE"/>
        </w:rPr>
        <w:lastRenderedPageBreak/>
        <w:t xml:space="preserve">can be controlled; therefore, there is less opportunity for a cyber attack (data breach, hacking etc.) as well as unauthorised access to confidential arbitration matters, which are being conducted on-line. In an effort to mitigate these concerns, arbitration institutions and legal technology providers have created safe digital venues for on-line arbitration. These digital venues provide secure arbitration environments by utilizing the same technologies used to create secure digital financial transactions, i.e., blockchain encryption, multi-factor authentication and end-to-end encryption to protect the confidentiality of the arbitration process </w:t>
      </w:r>
      <w:r>
        <w:rPr>
          <w:rStyle w:val="FootnoteReference"/>
          <w:rFonts w:asciiTheme="majorBidi" w:eastAsia="Calibri" w:hAnsiTheme="majorBidi" w:cstheme="majorBidi"/>
          <w:color w:val="000000"/>
          <w:lang w:bidi="ar-AE"/>
        </w:rPr>
        <w:footnoteReference w:id="41"/>
      </w:r>
      <w:r>
        <w:rPr>
          <w:rFonts w:asciiTheme="majorBidi" w:eastAsia="Calibri" w:hAnsiTheme="majorBidi" w:cstheme="majorBidi"/>
          <w:color w:val="000000"/>
          <w:lang w:bidi="ar-AE"/>
        </w:rPr>
        <w:t xml:space="preserve">. </w:t>
      </w:r>
    </w:p>
    <w:p w14:paraId="72F337C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 further point of divergence concerns the manner in which evidence is submitted and verified. Conventional arbitration typically depends on tangible documentary evidence, notarised records, and face-to-face witness testimony, all of which benefit from well-established methods of authentication. By contrast, online arbitration relies predominantly on electronic evidence, which introduces heightened risks related to data alteration, unauthorised access, and cyber manipulation . To address these vulnerabilities, scholars and practitioners have increasingly proposed the use of blockchain technology as a means of strengthening evidentiary integrity, as it can provide immutable records and verifiable audit trails that help safeguard digital submissions against tampering throughout the arbitral process.</w:t>
      </w:r>
    </w:p>
    <w:p w14:paraId="77AF3144"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One of the most significant differences in terms of how both types of arbitration deal with the submission and authentication of evidence is the type of evidence. Arbitration done traditionally uses physical evidence, notarized documents, and in person witness testimony. This is obviously much easier to authenticate and verify. Online arbitration also includes </w:t>
      </w:r>
      <w:r>
        <w:rPr>
          <w:rFonts w:asciiTheme="majorBidi" w:eastAsia="Calibri" w:hAnsiTheme="majorBidi" w:cstheme="majorBidi"/>
          <w:color w:val="000000"/>
          <w:lang w:bidi="ar-AE"/>
        </w:rPr>
        <w:lastRenderedPageBreak/>
        <w:t>evidence, but it is all digital evidence. Digital evidence is much more susceptible to being forged, altered, or hacked. Some have suggested the use of Blockchain technology as one way to improve the safety and reliability of digital evidence to ensure that documents provided as evidence during arbitration cannot be altered and can be verified.</w:t>
      </w:r>
      <w:r>
        <w:rPr>
          <w:rFonts w:asciiTheme="majorBidi" w:eastAsia="Calibri" w:hAnsiTheme="majorBidi" w:cstheme="majorBidi"/>
          <w:color w:val="000000"/>
          <w:lang w:bidi="ar-AE"/>
        </w:rPr>
        <w:br/>
        <w:t>A further concern for both sides of this argument is enforceability and recognition of arbitration awards. Awards from traditional arbitration are generally recognized and enforced by courts in over 160 countries around the world via the New York Convention (1958) for enforcement. At present, however, the legality of online arbitration awards may vary greatly depending upon the jurisdiction in which the award is sought to be enforced. Specifically, many legal systems still require either a physical signature or a paper document to validate an agreement. Therefore, scholars have argued that revisions to the current International Arbitration Laws need to be made to provide the consistency needed to enforce online arbitration awards to the same extent that traditional arbitration awards are enforced.</w:t>
      </w:r>
    </w:p>
    <w:p w14:paraId="1702009B"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Ultimately, while arbitration continues to be a very popular method for resolving disputes, online arbitration is emerging as a faster, less expensive, and more accessible alternative to traditional arbitration. The continued acceptance of online arbitration, combined with advances in cybersecurity measures, as well as changes to arbitration laws, indicate that online arbitration will likely become as widely accepted as traditional arbitration. To realise its full potential, however, issues regarding the security of digital arbitration; the level of legal recognition of online arbitration awards; and the level of procedural uniformity among online arbitrators will need to be resolved </w:t>
      </w:r>
      <w:r>
        <w:rPr>
          <w:rStyle w:val="FootnoteReference"/>
          <w:rFonts w:asciiTheme="majorBidi" w:eastAsia="Calibri" w:hAnsiTheme="majorBidi" w:cstheme="majorBidi"/>
          <w:color w:val="000000"/>
          <w:lang w:bidi="ar-AE"/>
        </w:rPr>
        <w:footnoteReference w:id="42"/>
      </w:r>
    </w:p>
    <w:p w14:paraId="42DDFA5F" w14:textId="77777777" w:rsidR="00F073C0" w:rsidRPr="008819FD" w:rsidRDefault="00F073C0" w:rsidP="009F5ACD">
      <w:pPr>
        <w:pStyle w:val="Heading3"/>
        <w:rPr>
          <w:rFonts w:asciiTheme="majorBidi" w:hAnsiTheme="majorBidi" w:cstheme="majorBidi"/>
        </w:rPr>
      </w:pPr>
      <w:bookmarkStart w:id="45" w:name="_Toc190813273"/>
      <w:bookmarkStart w:id="46" w:name="_Toc209626920"/>
      <w:bookmarkStart w:id="47" w:name="_Toc217491557"/>
      <w:bookmarkStart w:id="48" w:name="_Toc221804507"/>
      <w:r>
        <w:rPr>
          <w:rFonts w:asciiTheme="majorBidi" w:hAnsiTheme="majorBidi" w:cstheme="majorBidi"/>
        </w:rPr>
        <w:lastRenderedPageBreak/>
        <w:t>Legal Advantages of Online Arbitration</w:t>
      </w:r>
      <w:bookmarkEnd w:id="45"/>
      <w:bookmarkEnd w:id="46"/>
      <w:bookmarkEnd w:id="47"/>
      <w:bookmarkEnd w:id="48"/>
    </w:p>
    <w:p w14:paraId="58DAF3F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Online arbitration presents a range of legal advantages that distinguish it from conventional arbitration and court litigation. Among its most significant benefits are increased procedural efficiency, lower operational costs, wider accessibility for parties across jurisdictions, and enhanced mechanisms for maintaining confidentiality. In response to the accelerating digital transformation of legal processes, arbitral institutions and lawmakers have progressively integrated online arbitration provisions into their regulatory frameworks, thereby reinforcing the legal validity, cross-border recognition, and enforceability of electronically conducted arbitral proceedings </w:t>
      </w:r>
      <w:r>
        <w:rPr>
          <w:rStyle w:val="FootnoteReference"/>
          <w:rFonts w:asciiTheme="majorBidi" w:eastAsia="Calibri" w:hAnsiTheme="majorBidi" w:cstheme="majorBidi"/>
          <w:color w:val="000000"/>
          <w:lang w:bidi="ar-AE"/>
        </w:rPr>
        <w:footnoteReference w:id="43"/>
      </w:r>
      <w:r>
        <w:rPr>
          <w:rFonts w:asciiTheme="majorBidi" w:eastAsia="Calibri" w:hAnsiTheme="majorBidi" w:cstheme="majorBidi"/>
          <w:color w:val="000000"/>
          <w:lang w:bidi="ar-AE"/>
        </w:rPr>
        <w:t>.</w:t>
      </w:r>
    </w:p>
    <w:p w14:paraId="62CE2252"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Procedural efficiency constitutes one of the most compelling legal advantages of online arbitration. While judicial litigation is often characterised by lengthy proceedings and administrative constraints, arbitration is inherently structured to deliver more timely dispute resolution. The digitalisation of arbitral processes further enhances this efficiency by removing geographical limitations, minimising logistical complexities, and enabling greater flexibility in the organisation of hearings</w:t>
      </w:r>
      <w:r>
        <w:rPr>
          <w:rStyle w:val="FootnoteReference"/>
          <w:rFonts w:asciiTheme="majorBidi" w:eastAsia="Calibri" w:hAnsiTheme="majorBidi" w:cstheme="majorBidi"/>
          <w:color w:val="000000"/>
          <w:lang w:bidi="ar-AE"/>
        </w:rPr>
        <w:footnoteReference w:id="44"/>
      </w:r>
      <w:r>
        <w:rPr>
          <w:rFonts w:asciiTheme="majorBidi" w:eastAsia="Calibri" w:hAnsiTheme="majorBidi" w:cstheme="majorBidi"/>
          <w:color w:val="000000"/>
          <w:lang w:bidi="ar-AE"/>
        </w:rPr>
        <w:t>. AI-powered case management tools, electronic document submissions, and automated scheduling systems contribute to expedited proceedings, ensuring that disputes are resolved in a fraction of the time required in traditional legal settings</w:t>
      </w:r>
      <w:r>
        <w:rPr>
          <w:rStyle w:val="FootnoteReference"/>
          <w:rFonts w:asciiTheme="majorBidi" w:eastAsia="Calibri" w:hAnsiTheme="majorBidi" w:cstheme="majorBidi"/>
          <w:color w:val="000000"/>
          <w:lang w:bidi="ar-AE"/>
        </w:rPr>
        <w:footnoteReference w:id="45"/>
      </w:r>
      <w:r>
        <w:rPr>
          <w:rFonts w:asciiTheme="majorBidi" w:eastAsia="Calibri" w:hAnsiTheme="majorBidi" w:cstheme="majorBidi"/>
          <w:color w:val="000000"/>
          <w:lang w:bidi="ar-AE"/>
        </w:rPr>
        <w:t xml:space="preserve">. and AI-assisted case management systems accelerates procedural timelines and streamlines </w:t>
      </w:r>
      <w:r>
        <w:rPr>
          <w:rFonts w:asciiTheme="majorBidi" w:eastAsia="Calibri" w:hAnsiTheme="majorBidi" w:cstheme="majorBidi"/>
          <w:color w:val="000000"/>
          <w:lang w:bidi="ar-AE"/>
        </w:rPr>
        <w:lastRenderedPageBreak/>
        <w:t>decision-making.Such efficiency is particularly critical in commercial and financial disputes, where delays in resolution may result in substantial economic harm to the parties involved</w:t>
      </w:r>
    </w:p>
    <w:p w14:paraId="19078A9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Cost efficiency represents another major advantage of online arbitration when compared with traditional forms of dispute resolution. Although conventional arbitration is generally less costly than court litigation, it often entails significant expenses arising from physical hearing venues, travel and accommodation for arbitrators and parties, and extensive administrative overheads.</w:t>
      </w:r>
      <w:r>
        <w:rPr>
          <w:rStyle w:val="FootnoteReference"/>
          <w:rFonts w:asciiTheme="majorBidi" w:eastAsia="Calibri" w:hAnsiTheme="majorBidi" w:cstheme="majorBidi"/>
          <w:color w:val="000000"/>
          <w:lang w:bidi="ar-AE"/>
        </w:rPr>
        <w:footnoteReference w:id="46"/>
      </w:r>
      <w:r>
        <w:rPr>
          <w:rFonts w:asciiTheme="majorBidi" w:eastAsia="Calibri" w:hAnsiTheme="majorBidi" w:cstheme="majorBidi"/>
          <w:color w:val="000000"/>
          <w:lang w:bidi="ar-AE"/>
        </w:rPr>
        <w:t>Online arbitration substantially mitigates these financial burdens by enabling virtual hearings, replacing paper-based processes with electronic documentation, and centralising case administration through digital and cloud-based platforms.</w:t>
      </w:r>
      <w:r>
        <w:rPr>
          <w:rStyle w:val="FootnoteReference"/>
          <w:rFonts w:asciiTheme="majorBidi" w:eastAsia="Calibri" w:hAnsiTheme="majorBidi" w:cstheme="majorBidi"/>
          <w:color w:val="000000"/>
          <w:lang w:bidi="ar-AE"/>
        </w:rPr>
        <w:footnoteReference w:id="47"/>
      </w:r>
      <w:r>
        <w:rPr>
          <w:rFonts w:asciiTheme="majorBidi" w:eastAsia="Calibri" w:hAnsiTheme="majorBidi" w:cstheme="majorBidi"/>
          <w:color w:val="000000"/>
          <w:lang w:bidi="ar-AE"/>
        </w:rPr>
        <w:t>. Empirical studies suggest that the adoption of online arbitration can lead to cost reductions of up to 50 per cent, thereby increasing access to justice and making dispute resolution more affordable for small and medium-sized enterprises as well as individual parties with limited financial capacity</w:t>
      </w:r>
      <w:r>
        <w:rPr>
          <w:rStyle w:val="FootnoteReference"/>
          <w:rFonts w:asciiTheme="majorBidi" w:eastAsia="Calibri" w:hAnsiTheme="majorBidi" w:cstheme="majorBidi"/>
          <w:color w:val="000000"/>
          <w:lang w:bidi="ar-AE"/>
        </w:rPr>
        <w:footnoteReference w:id="48"/>
      </w:r>
      <w:r>
        <w:rPr>
          <w:rFonts w:asciiTheme="majorBidi" w:eastAsia="Calibri" w:hAnsiTheme="majorBidi" w:cstheme="majorBidi"/>
          <w:color w:val="000000"/>
          <w:lang w:bidi="ar-AE"/>
        </w:rPr>
        <w:t>.</w:t>
      </w:r>
    </w:p>
    <w:p w14:paraId="515CA4C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Another notable legal advantage of online arbitration lies in its global accessibility. Conventional arbitration frequently obliges parties to convene in a designated neutral venue, thereby incurring additional travel, accommodation, and logistical costs. By contrast, online arbitration eliminates the need for physical presence by enabling remote participation from any location. This feature facilitates cross-border dispute resolution between parties operating </w:t>
      </w:r>
      <w:r>
        <w:rPr>
          <w:rFonts w:asciiTheme="majorBidi" w:eastAsia="Calibri" w:hAnsiTheme="majorBidi" w:cstheme="majorBidi"/>
          <w:color w:val="000000"/>
          <w:lang w:bidi="ar-AE"/>
        </w:rPr>
        <w:lastRenderedPageBreak/>
        <w:t>under different legal systems while significantly reducing practical and financial constraints</w:t>
      </w:r>
      <w:r>
        <w:rPr>
          <w:rStyle w:val="FootnoteReference"/>
          <w:rFonts w:asciiTheme="majorBidi" w:eastAsia="Calibri" w:hAnsiTheme="majorBidi" w:cstheme="majorBidi"/>
          <w:color w:val="000000"/>
          <w:lang w:bidi="ar-AE"/>
        </w:rPr>
        <w:footnoteReference w:id="49"/>
      </w:r>
      <w:r>
        <w:rPr>
          <w:rFonts w:asciiTheme="majorBidi" w:eastAsia="Calibri" w:hAnsiTheme="majorBidi" w:cstheme="majorBidi"/>
          <w:color w:val="000000"/>
          <w:lang w:bidi="ar-AE"/>
        </w:rPr>
        <w:t>. As a result, online arbitration becomes a particularly effective mechanism for small and medium-sized enterprises, which may otherwise face considerable obstacles in pursuing or defending claims in foreign jurisdictions</w:t>
      </w:r>
      <w:r>
        <w:rPr>
          <w:rStyle w:val="FootnoteReference"/>
          <w:rFonts w:asciiTheme="majorBidi" w:eastAsia="Calibri" w:hAnsiTheme="majorBidi" w:cstheme="majorBidi"/>
          <w:color w:val="000000"/>
          <w:lang w:bidi="ar-AE"/>
        </w:rPr>
        <w:footnoteReference w:id="50"/>
      </w:r>
      <w:r>
        <w:rPr>
          <w:rFonts w:asciiTheme="majorBidi" w:eastAsia="Calibri" w:hAnsiTheme="majorBidi" w:cstheme="majorBidi"/>
          <w:color w:val="000000"/>
          <w:lang w:bidi="ar-AE"/>
        </w:rPr>
        <w:t>.</w:t>
      </w:r>
    </w:p>
    <w:p w14:paraId="6A2A9C5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Online arbitration offers enhanced safeguards for confidentiality when compared to traditional court litigation. Judicial proceedings are generally conducted in public, which may expose commercially sensitive information or personal data to wider scrutiny. Arbitration, by its nature, provides a more private forum for dispute resolution, and the adoption of online mechanisms further strengthens this protection using encrypted communication systems, secure digital storage, and advanced data-access controls</w:t>
      </w:r>
      <w:r>
        <w:rPr>
          <w:rStyle w:val="FootnoteReference"/>
          <w:rFonts w:asciiTheme="majorBidi" w:eastAsia="Calibri" w:hAnsiTheme="majorBidi" w:cstheme="majorBidi"/>
          <w:color w:val="000000"/>
          <w:lang w:bidi="ar-AE"/>
        </w:rPr>
        <w:footnoteReference w:id="51"/>
      </w:r>
      <w:r>
        <w:rPr>
          <w:rFonts w:asciiTheme="majorBidi" w:eastAsia="Calibri" w:hAnsiTheme="majorBidi" w:cstheme="majorBidi"/>
          <w:color w:val="000000"/>
          <w:lang w:bidi="ar-AE"/>
        </w:rPr>
        <w:t xml:space="preserve">. In addition, many arbitral institutions have implemented blockchain-based document management solutions to preserve the integrity of evidence and arbitral records, ensuring that access is restricted solely to authorised participants. Collectively, these technological safeguards create an additional layer of security, reinforcing confidentiality and trust in the online arbitration process. </w:t>
      </w:r>
      <w:r>
        <w:rPr>
          <w:rStyle w:val="FootnoteReference"/>
          <w:rFonts w:asciiTheme="majorBidi" w:eastAsia="Calibri" w:hAnsiTheme="majorBidi" w:cstheme="majorBidi"/>
          <w:color w:val="000000"/>
          <w:lang w:bidi="ar-AE"/>
        </w:rPr>
        <w:footnoteReference w:id="52"/>
      </w:r>
    </w:p>
    <w:p w14:paraId="7FBDAAD2"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conformity of online arbitration with established international legal instruments significantly strengthens the cross-border enforceability of arbitral awards. The </w:t>
      </w:r>
      <w:r>
        <w:rPr>
          <w:rFonts w:asciiTheme="majorBidi" w:eastAsia="Calibri" w:hAnsiTheme="majorBidi" w:cstheme="majorBidi"/>
          <w:b/>
          <w:bCs/>
          <w:color w:val="000000"/>
          <w:lang w:bidi="ar-AE"/>
        </w:rPr>
        <w:t>New York Convention on the Recognition and Enforcement of Foreign Arbitral Awards</w:t>
      </w:r>
      <w:r>
        <w:rPr>
          <w:rFonts w:asciiTheme="majorBidi" w:eastAsia="Calibri" w:hAnsiTheme="majorBidi" w:cstheme="majorBidi"/>
          <w:color w:val="000000"/>
          <w:lang w:bidi="ar-AE"/>
        </w:rPr>
        <w:t xml:space="preserve"> has long served as the cornerstone for the global recognition and enforcement of arbitral decisions, </w:t>
      </w:r>
      <w:r>
        <w:rPr>
          <w:rFonts w:asciiTheme="majorBidi" w:eastAsia="Calibri" w:hAnsiTheme="majorBidi" w:cstheme="majorBidi"/>
          <w:color w:val="000000"/>
          <w:lang w:bidi="ar-AE"/>
        </w:rPr>
        <w:lastRenderedPageBreak/>
        <w:t>currently binding more than 160 jurisdictions</w:t>
      </w:r>
      <w:r>
        <w:rPr>
          <w:rStyle w:val="FootnoteReference"/>
          <w:rFonts w:asciiTheme="majorBidi" w:eastAsia="Calibri" w:hAnsiTheme="majorBidi" w:cstheme="majorBidi"/>
          <w:color w:val="000000"/>
          <w:lang w:bidi="ar-AE"/>
        </w:rPr>
        <w:footnoteReference w:id="53"/>
      </w:r>
      <w:r>
        <w:rPr>
          <w:rFonts w:asciiTheme="majorBidi" w:eastAsia="Calibri" w:hAnsiTheme="majorBidi" w:cstheme="majorBidi"/>
          <w:color w:val="000000"/>
          <w:lang w:bidi="ar-AE"/>
        </w:rPr>
        <w:t>. Although the Convention was originally drafted with traditional arbitration in mind, contemporary legal scholarship supports the view that its principles are equally applicable to electronically conducted arbitral proceedings, provided that fundamental requirements such as due process, party autonomy, and procedural fairness are fully respected</w:t>
      </w:r>
      <w:r>
        <w:rPr>
          <w:rStyle w:val="FootnoteReference"/>
          <w:rFonts w:asciiTheme="majorBidi" w:eastAsia="Calibri" w:hAnsiTheme="majorBidi" w:cstheme="majorBidi"/>
          <w:color w:val="000000"/>
          <w:lang w:bidi="ar-AE"/>
        </w:rPr>
        <w:footnoteReference w:id="54"/>
      </w:r>
      <w:r>
        <w:rPr>
          <w:rFonts w:asciiTheme="majorBidi" w:eastAsia="Calibri" w:hAnsiTheme="majorBidi" w:cstheme="majorBidi"/>
          <w:color w:val="000000"/>
          <w:lang w:bidi="ar-AE"/>
        </w:rPr>
        <w:t xml:space="preserve">. In parallel, leading international arbitral institutions including the </w:t>
      </w:r>
      <w:r>
        <w:rPr>
          <w:rFonts w:asciiTheme="majorBidi" w:eastAsia="Calibri" w:hAnsiTheme="majorBidi" w:cstheme="majorBidi"/>
          <w:b/>
          <w:bCs/>
          <w:color w:val="000000"/>
          <w:lang w:bidi="ar-AE"/>
        </w:rPr>
        <w:t>International Chamber of Commerce</w:t>
      </w:r>
      <w:r>
        <w:rPr>
          <w:rFonts w:asciiTheme="majorBidi" w:eastAsia="Calibri" w:hAnsiTheme="majorBidi" w:cstheme="majorBidi"/>
          <w:color w:val="000000"/>
          <w:lang w:bidi="ar-AE"/>
        </w:rPr>
        <w:t xml:space="preserve">, the </w:t>
      </w:r>
      <w:r>
        <w:rPr>
          <w:rFonts w:asciiTheme="majorBidi" w:eastAsia="Calibri" w:hAnsiTheme="majorBidi" w:cstheme="majorBidi"/>
          <w:b/>
          <w:bCs/>
          <w:color w:val="000000"/>
          <w:lang w:bidi="ar-AE"/>
        </w:rPr>
        <w:t>London Court of International Arbitration</w:t>
      </w:r>
      <w:r>
        <w:rPr>
          <w:rFonts w:asciiTheme="majorBidi" w:eastAsia="Calibri" w:hAnsiTheme="majorBidi" w:cstheme="majorBidi"/>
          <w:color w:val="000000"/>
          <w:lang w:bidi="ar-AE"/>
        </w:rPr>
        <w:t xml:space="preserve">, and the </w:t>
      </w:r>
      <w:r>
        <w:rPr>
          <w:rFonts w:asciiTheme="majorBidi" w:eastAsia="Calibri" w:hAnsiTheme="majorBidi" w:cstheme="majorBidi"/>
          <w:b/>
          <w:bCs/>
          <w:color w:val="000000"/>
          <w:lang w:bidi="ar-AE"/>
        </w:rPr>
        <w:t xml:space="preserve">Singapore International Arbitration Centre </w:t>
      </w:r>
      <w:r>
        <w:rPr>
          <w:rFonts w:asciiTheme="majorBidi" w:eastAsia="Calibri" w:hAnsiTheme="majorBidi" w:cstheme="majorBidi"/>
          <w:color w:val="000000"/>
          <w:lang w:bidi="ar-AE"/>
        </w:rPr>
        <w:t>have revised their procedural rules to expressly accommodate digital and remote arbitration practices. These institutional reforms further consolidate the legitimacy of online arbitration and affirm its acceptance as a credible and enforceable dispute resolution mechanism within the international arbitration system</w:t>
      </w:r>
      <w:r>
        <w:rPr>
          <w:rStyle w:val="FootnoteReference"/>
          <w:rFonts w:asciiTheme="majorBidi" w:eastAsia="Calibri" w:hAnsiTheme="majorBidi" w:cstheme="majorBidi"/>
          <w:color w:val="000000"/>
          <w:lang w:bidi="ar-AE"/>
        </w:rPr>
        <w:footnoteReference w:id="55"/>
      </w:r>
      <w:r>
        <w:rPr>
          <w:rFonts w:asciiTheme="majorBidi" w:eastAsia="Calibri" w:hAnsiTheme="majorBidi" w:cstheme="majorBidi"/>
          <w:color w:val="000000"/>
          <w:lang w:bidi="ar-AE"/>
        </w:rPr>
        <w:t>.</w:t>
      </w:r>
    </w:p>
    <w:p w14:paraId="2A4F30F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Notwithstanding its numerous advantages, online arbitration continues to face challenges concerning the recognition and enforcement of electronically issued awards in certain jurisdictions. Some legal systems retain formal requirements for physical documentation and handwritten signatures, which may limit the acceptance of fully digital arbitration agreements and awards. These constraints raise legitimate concerns regarding the enforceability of online arbitration outcomes, particularly in jurisdictions that have not fully modernised their evidentiary or procedural laws </w:t>
      </w:r>
      <w:r>
        <w:rPr>
          <w:rStyle w:val="FootnoteReference"/>
          <w:rFonts w:asciiTheme="majorBidi" w:eastAsia="Calibri" w:hAnsiTheme="majorBidi" w:cstheme="majorBidi"/>
          <w:color w:val="000000"/>
          <w:lang w:bidi="ar-AE"/>
        </w:rPr>
        <w:footnoteReference w:id="56"/>
      </w:r>
      <w:r>
        <w:rPr>
          <w:rFonts w:asciiTheme="majorBidi" w:eastAsia="Calibri" w:hAnsiTheme="majorBidi" w:cstheme="majorBidi"/>
          <w:color w:val="000000"/>
          <w:lang w:bidi="ar-AE"/>
        </w:rPr>
        <w:t>.</w:t>
      </w:r>
    </w:p>
    <w:p w14:paraId="3B16B5D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response to these challenges, international bodies such as the </w:t>
      </w:r>
      <w:r>
        <w:rPr>
          <w:rFonts w:asciiTheme="majorBidi" w:eastAsia="Calibri" w:hAnsiTheme="majorBidi" w:cstheme="majorBidi"/>
          <w:b/>
          <w:bCs/>
          <w:color w:val="000000"/>
          <w:lang w:bidi="ar-AE"/>
        </w:rPr>
        <w:t>United Nations Commission on International Trade Law</w:t>
      </w:r>
      <w:r>
        <w:rPr>
          <w:rFonts w:asciiTheme="majorBidi" w:eastAsia="Calibri" w:hAnsiTheme="majorBidi" w:cstheme="majorBidi"/>
          <w:color w:val="000000"/>
          <w:lang w:bidi="ar-AE"/>
        </w:rPr>
        <w:t xml:space="preserve"> have advanced legislative initiatives and model </w:t>
      </w:r>
      <w:r>
        <w:rPr>
          <w:rFonts w:asciiTheme="majorBidi" w:eastAsia="Calibri" w:hAnsiTheme="majorBidi" w:cstheme="majorBidi"/>
          <w:color w:val="000000"/>
          <w:lang w:bidi="ar-AE"/>
        </w:rPr>
        <w:lastRenderedPageBreak/>
        <w:t>frameworks aimed at promoting the legal validity of electronic communications, signatures, and arbitral awards. These efforts seek to ensure that awards rendered through digital means are recognised as legally binding across jurisdictions, provided that fundamental procedural safeguards are observed.</w:t>
      </w:r>
      <w:r>
        <w:rPr>
          <w:rStyle w:val="FootnoteReference"/>
          <w:rFonts w:asciiTheme="majorBidi" w:eastAsia="Calibri" w:hAnsiTheme="majorBidi" w:cstheme="majorBidi"/>
          <w:color w:val="000000"/>
          <w:lang w:bidi="ar-AE"/>
        </w:rPr>
        <w:footnoteReference w:id="57"/>
      </w:r>
    </w:p>
    <w:p w14:paraId="714BF7B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Ongoing international harmonisation initiatives continue to play a critical role in reducing inconsistencies between traditional and online arbitration regimes, with the objective of creating a more uniform and predictable enforcement landscape for electronically conducted arbitral proceedings</w:t>
      </w:r>
      <w:r>
        <w:rPr>
          <w:rStyle w:val="FootnoteReference"/>
          <w:rFonts w:asciiTheme="majorBidi" w:eastAsia="Calibri" w:hAnsiTheme="majorBidi" w:cstheme="majorBidi"/>
          <w:color w:val="000000"/>
          <w:lang w:bidi="ar-AE"/>
        </w:rPr>
        <w:footnoteReference w:id="58"/>
      </w:r>
      <w:r>
        <w:rPr>
          <w:rFonts w:asciiTheme="majorBidi" w:eastAsia="Calibri" w:hAnsiTheme="majorBidi" w:cstheme="majorBidi"/>
          <w:color w:val="000000"/>
          <w:lang w:bidi="ar-AE"/>
        </w:rPr>
        <w:t>.</w:t>
      </w:r>
    </w:p>
    <w:p w14:paraId="0A6A065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summary, online arbitration offers a robust set of legal advantages that distinguish it from traditional dispute resolution mechanisms. These advantages include enhanced procedural efficiency, significant cost savings, expanded cross-border accessibility, strengthened confidentiality safeguards, and coherence with established international arbitration regimes. Although challenges persist in relation to legal recognition and enforcement within certain jurisdictions, continuing legislative developments and advances in digital security infrastructure are progressively addressing these concerns. Taken together, these developments indicate that online arbitration is likely to evolve into a fully legitimised and widely adopted mechanism for resolving commercial and international disputes in the digital era</w:t>
      </w:r>
      <w:r>
        <w:rPr>
          <w:rStyle w:val="FootnoteReference"/>
          <w:rFonts w:asciiTheme="majorBidi" w:eastAsia="Calibri" w:hAnsiTheme="majorBidi" w:cstheme="majorBidi"/>
          <w:color w:val="000000"/>
          <w:lang w:bidi="ar-AE"/>
        </w:rPr>
        <w:footnoteReference w:id="59"/>
      </w:r>
      <w:r>
        <w:rPr>
          <w:rFonts w:asciiTheme="majorBidi" w:eastAsia="Calibri" w:hAnsiTheme="majorBidi" w:cstheme="majorBidi"/>
          <w:color w:val="000000"/>
          <w:lang w:bidi="ar-AE"/>
        </w:rPr>
        <w:t>.</w:t>
      </w:r>
    </w:p>
    <w:p w14:paraId="2080E9C8" w14:textId="77777777" w:rsidR="00F073C0" w:rsidRPr="008819FD" w:rsidRDefault="00F073C0" w:rsidP="009F5ACD">
      <w:pPr>
        <w:pStyle w:val="Heading3"/>
        <w:rPr>
          <w:rFonts w:asciiTheme="majorBidi" w:hAnsiTheme="majorBidi" w:cstheme="majorBidi"/>
        </w:rPr>
      </w:pPr>
      <w:bookmarkStart w:id="53" w:name="_Toc221804508"/>
      <w:r>
        <w:rPr>
          <w:rFonts w:asciiTheme="majorBidi" w:hAnsiTheme="majorBidi" w:cstheme="majorBidi"/>
        </w:rPr>
        <w:lastRenderedPageBreak/>
        <w:t>Technical Challenges in Online Arbitration</w:t>
      </w:r>
      <w:bookmarkEnd w:id="53"/>
    </w:p>
    <w:p w14:paraId="0C955269"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Notwithstanding its many benefits, online arbitration is accompanied by a range of technical and operational challenges that may impede its broader acceptance. These challenges include vulnerabilities related to cybersecurity, difficulties in verifying the authenticity and integrity of electronic evidence, disparities in digital access and technological capability, concerns over system reliability, ethical issues arising from the use of artificial intelligence, risks to data protection and privacy, and the lack of uniform standards across arbitration platforms. Collectively, these issues introduce legal and practical uncertainties that could undermine confidence in online arbitration unless they are systematically addressed through robust technological safeguards, harmonised regulatory frameworks, and clear ethical governance mechanisms</w:t>
      </w:r>
      <w:r>
        <w:rPr>
          <w:rFonts w:asciiTheme="majorBidi" w:eastAsia="Calibri" w:hAnsiTheme="majorBidi" w:cstheme="majorBidi"/>
          <w:color w:val="000000"/>
          <w:lang w:bidi="ar-AE"/>
        </w:rPr>
        <w:t>.</w:t>
      </w:r>
      <w:r>
        <w:rPr>
          <w:rStyle w:val="FootnoteReference"/>
          <w:rFonts w:asciiTheme="majorBidi" w:eastAsia="Calibri" w:hAnsiTheme="majorBidi" w:cstheme="majorBidi"/>
          <w:color w:val="000000"/>
          <w:lang w:bidi="ar-AE"/>
        </w:rPr>
        <w:footnoteReference w:id="60"/>
      </w:r>
      <w:r>
        <w:rPr>
          <w:rFonts w:asciiTheme="majorBidi" w:eastAsia="Calibri" w:hAnsiTheme="majorBidi" w:cstheme="majorBidi"/>
          <w:color w:val="000000"/>
          <w:lang w:bidi="ar-AE"/>
        </w:rPr>
        <w:t xml:space="preserve">. </w:t>
      </w:r>
    </w:p>
    <w:p w14:paraId="578734D3" w14:textId="77777777" w:rsidR="00F073C0" w:rsidRPr="008819FD" w:rsidRDefault="00F073C0" w:rsidP="00663759">
      <w:pPr>
        <w:numPr>
          <w:ilvl w:val="0"/>
          <w:numId w:val="8"/>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Cybersecurity Risks and Data Breaches</w:t>
      </w:r>
    </w:p>
    <w:p w14:paraId="790262B5" w14:textId="77777777" w:rsidR="00F073C0" w:rsidRPr="008819FD" w:rsidRDefault="00F073C0" w:rsidP="00663759">
      <w:pPr>
        <w:pStyle w:val="NormalWeb"/>
        <w:spacing w:line="480" w:lineRule="auto"/>
        <w:ind w:left="360" w:firstLine="720"/>
        <w:rPr>
          <w:rFonts w:asciiTheme="majorBidi" w:eastAsia="Calibri" w:hAnsiTheme="majorBidi" w:cstheme="majorBidi"/>
          <w:color w:val="000000"/>
          <w:lang w:bidi="ar-AE"/>
        </w:rPr>
      </w:pPr>
      <w:r>
        <w:rPr>
          <w:rFonts w:asciiTheme="majorBidi" w:hAnsiTheme="majorBidi" w:cstheme="majorBidi"/>
        </w:rPr>
        <w:t xml:space="preserve">Cybersecurity represents one of the most critical challenges confronting online arbitration. Arbitral proceedings routinely involve highly sensitive information, including confidential commercial agreements, proprietary business knowledge, and personal or financial data. Any breach resulting from unauthorised access, cyber intrusion, or data leakage has the potential to undermine both the integrity of the proceedings and the enforceability of the resulting award. Recent incidents involving cyberattacks on legal and dispute resolution institutions have highlighted the susceptibility of digital arbitration platforms to security threats, thereby raising serious concerns regarding confidentiality and </w:t>
      </w:r>
      <w:r>
        <w:rPr>
          <w:rFonts w:asciiTheme="majorBidi" w:hAnsiTheme="majorBidi" w:cstheme="majorBidi"/>
        </w:rPr>
        <w:lastRenderedPageBreak/>
        <w:t>trust in online processes</w:t>
      </w:r>
      <w:r>
        <w:rPr>
          <w:rStyle w:val="FootnoteReference"/>
          <w:rFonts w:asciiTheme="majorBidi" w:eastAsia="Calibri" w:hAnsiTheme="majorBidi" w:cstheme="majorBidi"/>
          <w:color w:val="000000"/>
          <w:lang w:bidi="ar-AE"/>
        </w:rPr>
        <w:footnoteReference w:id="61"/>
      </w:r>
      <w:r>
        <w:rPr>
          <w:rFonts w:asciiTheme="majorBidi" w:eastAsia="Calibri" w:hAnsiTheme="majorBidi" w:cstheme="majorBidi"/>
          <w:color w:val="000000"/>
          <w:lang w:bidi="ar-AE"/>
        </w:rPr>
        <w:t xml:space="preserve"> In response, arbitral institutions and legal technology providers have increasingly adopted advanced security measures such as end-to-end encryption, multi-factor authentication, blockchain-enabled document management, and AI-driven threat detection systems </w:t>
      </w:r>
      <w:r>
        <w:rPr>
          <w:rStyle w:val="FootnoteReference"/>
          <w:rFonts w:asciiTheme="majorBidi" w:eastAsia="Calibri" w:hAnsiTheme="majorBidi" w:cstheme="majorBidi"/>
          <w:color w:val="000000"/>
          <w:lang w:bidi="ar-AE"/>
        </w:rPr>
        <w:footnoteReference w:id="62"/>
      </w:r>
      <w:r>
        <w:rPr>
          <w:rFonts w:asciiTheme="majorBidi" w:eastAsia="Calibri" w:hAnsiTheme="majorBidi" w:cstheme="majorBidi"/>
          <w:color w:val="000000"/>
          <w:lang w:bidi="ar-AE"/>
        </w:rPr>
        <w:t>. While these technologies significantly enhance protection against cyber risks, the constantly evolving nature of cyber threats necessitates continuous system upgrades, regular security audits, and adaptive governance frameworks to ensure that online arbitration remains secure and reliable over time</w:t>
      </w:r>
      <w:r>
        <w:rPr>
          <w:rStyle w:val="FootnoteReference"/>
          <w:rFonts w:asciiTheme="majorBidi" w:eastAsia="Calibri" w:hAnsiTheme="majorBidi" w:cstheme="majorBidi"/>
          <w:color w:val="000000"/>
          <w:lang w:bidi="ar-AE"/>
        </w:rPr>
        <w:footnoteReference w:id="63"/>
      </w:r>
      <w:r>
        <w:rPr>
          <w:rFonts w:asciiTheme="majorBidi" w:eastAsia="Calibri" w:hAnsiTheme="majorBidi" w:cstheme="majorBidi"/>
          <w:color w:val="000000"/>
          <w:lang w:bidi="ar-AE"/>
        </w:rPr>
        <w:t xml:space="preserve">. </w:t>
      </w:r>
    </w:p>
    <w:p w14:paraId="6B91B4B5" w14:textId="77777777" w:rsidR="00F073C0" w:rsidRPr="008819FD" w:rsidRDefault="00F073C0" w:rsidP="00663759">
      <w:pPr>
        <w:numPr>
          <w:ilvl w:val="0"/>
          <w:numId w:val="8"/>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Authentication of Electronic Evidence</w:t>
      </w:r>
    </w:p>
    <w:p w14:paraId="4FCE86C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admissibility and verification of electronic evidence constitute another significant challenge in the context of online arbitration. In contrast to traditional arbitral proceedings, which typically rely on physical documents and manually executed agreements that are relatively straightforward to authenticate, online arbitration depends heavily on digital records, electronic communications, digitally executed contracts, and, increasingly, AI-generated materials. Such forms of evidence are inherently more susceptible to alteration, manipulation, or unauthorised interference.</w:t>
      </w:r>
      <w:r>
        <w:rPr>
          <w:rStyle w:val="FootnoteReference"/>
          <w:rFonts w:asciiTheme="majorBidi" w:eastAsia="Calibri" w:hAnsiTheme="majorBidi" w:cstheme="majorBidi"/>
          <w:color w:val="000000"/>
          <w:lang w:bidi="ar-AE"/>
        </w:rPr>
        <w:footnoteReference w:id="64"/>
      </w:r>
      <w:r>
        <w:rPr>
          <w:rFonts w:asciiTheme="majorBidi" w:eastAsia="Calibri" w:hAnsiTheme="majorBidi" w:cstheme="majorBidi"/>
          <w:color w:val="000000"/>
          <w:lang w:bidi="ar-AE"/>
        </w:rPr>
        <w:t>. The absence of universally accepted standards for verifying digital evidence has led to legal uncertainties regarding the legitimacy of electronic submission.</w:t>
      </w:r>
      <w:r>
        <w:rPr>
          <w:rStyle w:val="FootnoteReference"/>
          <w:rFonts w:asciiTheme="majorBidi" w:eastAsia="Calibri" w:hAnsiTheme="majorBidi" w:cstheme="majorBidi"/>
          <w:color w:val="000000"/>
          <w:lang w:bidi="ar-AE"/>
        </w:rPr>
        <w:footnoteReference w:id="65"/>
      </w:r>
    </w:p>
    <w:p w14:paraId="41165AD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The lack of universally harmonised standards governing the authentication and validation of electronic evidence has resulted in legal uncertainty regarding the probative value and legitimacy of digital submissions in arbitral proceedings. To address these concerns, legal scholars and practitioners have advocated the adoption of blockchain technology as a mechanism for ensuring evidentiary integrity, given its capacity to generate immutable records and verifiable transaction histories. In practice, blockchain-enabled smart contracts are already being deployed in certain dispute resolution contexts to automatically identify, record, and authenticate contractual performance and breaches. Nevertheless, the broader legal recognition and systematic integration of blockchain-based verification methods into arbitration frameworks remain in a developmental phase.</w:t>
      </w:r>
      <w:r>
        <w:rPr>
          <w:rStyle w:val="FootnoteReference"/>
          <w:rFonts w:asciiTheme="majorBidi" w:eastAsia="Calibri" w:hAnsiTheme="majorBidi" w:cstheme="majorBidi"/>
          <w:color w:val="000000"/>
          <w:lang w:bidi="ar-AE"/>
        </w:rPr>
        <w:footnoteReference w:id="66"/>
      </w:r>
    </w:p>
    <w:p w14:paraId="11A7A0F5"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p>
    <w:p w14:paraId="66D688FB"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p>
    <w:p w14:paraId="4F51E4F1" w14:textId="77777777" w:rsidR="00F073C0" w:rsidRPr="008819FD" w:rsidRDefault="00F073C0" w:rsidP="00663759">
      <w:pPr>
        <w:numPr>
          <w:ilvl w:val="0"/>
          <w:numId w:val="8"/>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The Digital Divide and Unequal Access to Arbitration Platforms</w:t>
      </w:r>
    </w:p>
    <w:p w14:paraId="13C8D0A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Online arbitration is predicated on the assumption that all participants possess adequate access to reliable virtual  connectivity, secure digital platforms, and the technical competence required to engage effectively in virtual proceedings. In practice, this assumption does not always hold. The persistent digital divide manifested in unequal access to technological infrastructure and digital skills—can generate structural inequalities within online arbitration, particularly for individuals and enterprises operating in developing economies or geographically remote areas.</w:t>
      </w:r>
      <w:r>
        <w:rPr>
          <w:rStyle w:val="FootnoteReference"/>
          <w:rFonts w:asciiTheme="majorBidi" w:eastAsia="Calibri" w:hAnsiTheme="majorBidi" w:cstheme="majorBidi"/>
          <w:color w:val="000000"/>
          <w:lang w:bidi="ar-AE"/>
        </w:rPr>
        <w:footnoteReference w:id="67"/>
      </w:r>
      <w:r>
        <w:rPr>
          <w:rFonts w:asciiTheme="majorBidi" w:eastAsia="Calibri" w:hAnsiTheme="majorBidi" w:cstheme="majorBidi"/>
          <w:color w:val="000000"/>
          <w:lang w:bidi="ar-AE"/>
        </w:rPr>
        <w:t xml:space="preserve">. While well-resourced corporations are often able to utilise </w:t>
      </w:r>
      <w:r>
        <w:rPr>
          <w:rFonts w:asciiTheme="majorBidi" w:eastAsia="Calibri" w:hAnsiTheme="majorBidi" w:cstheme="majorBidi"/>
          <w:color w:val="000000"/>
          <w:lang w:bidi="ar-AE"/>
        </w:rPr>
        <w:lastRenderedPageBreak/>
        <w:t>advanced legal technologies and robust cybersecurity systems, smaller businesses and individual parties may encounter obstacles such as unstable virtual  connections, limited digital literacy, and restricted access to specialised legal platforms. These disparities risk undermining procedural equality and fairness by placing technologically disadvantaged parties at a relative disadvantage when compared to their more technologically equipped counterparts</w:t>
      </w:r>
      <w:r>
        <w:rPr>
          <w:rStyle w:val="FootnoteReference"/>
          <w:rFonts w:asciiTheme="majorBidi" w:eastAsia="Calibri" w:hAnsiTheme="majorBidi" w:cstheme="majorBidi"/>
          <w:color w:val="000000"/>
          <w:lang w:bidi="ar-AE"/>
        </w:rPr>
        <w:footnoteReference w:id="68"/>
      </w:r>
      <w:r>
        <w:rPr>
          <w:rFonts w:asciiTheme="majorBidi" w:eastAsia="Calibri" w:hAnsiTheme="majorBidi" w:cstheme="majorBidi"/>
          <w:color w:val="000000"/>
          <w:lang w:bidi="ar-AE"/>
        </w:rPr>
        <w:t xml:space="preserve">. </w:t>
      </w:r>
    </w:p>
    <w:p w14:paraId="19F8C3F3" w14:textId="77777777" w:rsidR="00F073C0" w:rsidRPr="008819FD" w:rsidRDefault="00F073C0" w:rsidP="00663759">
      <w:pPr>
        <w:numPr>
          <w:ilvl w:val="0"/>
          <w:numId w:val="8"/>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System Reliability and Technical Malfunctions</w:t>
      </w:r>
    </w:p>
    <w:p w14:paraId="778206BC"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Another significant concern in online arbitration is the reliability of the system. Unlike traditional arbitration, where physical presence ensures procedural continuity, online arbitration is vulnerable to technical failures, system crashes, video conferencing malfunctions, and digital communication breakdowns.</w:t>
      </w:r>
      <w:r>
        <w:rPr>
          <w:rStyle w:val="FootnoteReference"/>
          <w:rFonts w:asciiTheme="majorBidi" w:eastAsia="Calibri" w:hAnsiTheme="majorBidi" w:cstheme="majorBidi"/>
          <w:color w:val="000000"/>
          <w:lang w:bidi="ar-AE"/>
        </w:rPr>
        <w:footnoteReference w:id="69"/>
      </w:r>
      <w:r>
        <w:rPr>
          <w:rFonts w:asciiTheme="majorBidi" w:eastAsia="Calibri" w:hAnsiTheme="majorBidi" w:cstheme="majorBidi"/>
          <w:color w:val="000000"/>
          <w:lang w:bidi="ar-AE"/>
        </w:rPr>
        <w:t xml:space="preserve">. In some instances, poor connectivity during virtual hearings has resulted in disrupted testimonies, miscommunications between arbitrators and parties, and procedural errors. </w:t>
      </w:r>
      <w:r>
        <w:rPr>
          <w:rStyle w:val="FootnoteReference"/>
          <w:rFonts w:asciiTheme="majorBidi" w:eastAsia="Calibri" w:hAnsiTheme="majorBidi" w:cstheme="majorBidi"/>
          <w:color w:val="000000"/>
          <w:lang w:bidi="ar-AE"/>
        </w:rPr>
        <w:footnoteReference w:id="70"/>
      </w:r>
      <w:r>
        <w:rPr>
          <w:rFonts w:asciiTheme="majorBidi" w:eastAsia="Calibri" w:hAnsiTheme="majorBidi" w:cstheme="majorBidi"/>
          <w:color w:val="000000"/>
          <w:lang w:bidi="ar-AE"/>
        </w:rPr>
        <w:t>To address these risks, arbitral institutions have increasingly implemented technological safeguards, including contingency systems, automated session recording, and AI-assisted real-time transcription tools designed to preserve procedural continuity in the event of technical failures. Nevertheless, significant challenges remain in ensuring that such technological solutions are consistently accessible, interoperable, and scalable across different arbitral platforms and jurisdictions.</w:t>
      </w:r>
      <w:r>
        <w:rPr>
          <w:rStyle w:val="FootnoteReference"/>
          <w:rFonts w:asciiTheme="majorBidi" w:eastAsia="Calibri" w:hAnsiTheme="majorBidi" w:cstheme="majorBidi"/>
          <w:color w:val="000000"/>
          <w:lang w:bidi="ar-AE"/>
        </w:rPr>
        <w:footnoteReference w:id="71"/>
      </w:r>
      <w:r>
        <w:rPr>
          <w:rFonts w:asciiTheme="majorBidi" w:eastAsia="Calibri" w:hAnsiTheme="majorBidi" w:cstheme="majorBidi"/>
          <w:color w:val="000000"/>
          <w:lang w:bidi="ar-AE"/>
        </w:rPr>
        <w:t>.</w:t>
      </w:r>
    </w:p>
    <w:p w14:paraId="524942BF" w14:textId="77777777" w:rsidR="00F073C0" w:rsidRPr="008819FD" w:rsidRDefault="00F073C0" w:rsidP="00663759">
      <w:pPr>
        <w:numPr>
          <w:ilvl w:val="0"/>
          <w:numId w:val="8"/>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Ethical Concerns in AI-Powered Arbitration</w:t>
      </w:r>
    </w:p>
    <w:p w14:paraId="5F927B5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The expanding use of artificial intelligence in arbitral proceedings has generated significant ethical and transparency-related concerns. I-driven tools are increasingly employed to support functions such as analysing legal precedents, managing and reviewing evidentiary materials, forecasting potential outcomes, and assisting in the drafting of arbitral awards</w:t>
      </w:r>
      <w:r>
        <w:rPr>
          <w:rStyle w:val="FootnoteReference"/>
          <w:rFonts w:asciiTheme="majorBidi" w:eastAsia="Calibri" w:hAnsiTheme="majorBidi" w:cstheme="majorBidi"/>
          <w:color w:val="000000"/>
          <w:lang w:bidi="ar-AE"/>
        </w:rPr>
        <w:footnoteReference w:id="72"/>
      </w:r>
      <w:r>
        <w:rPr>
          <w:rFonts w:asciiTheme="majorBidi" w:eastAsia="Calibri" w:hAnsiTheme="majorBidi" w:cstheme="majorBidi"/>
          <w:color w:val="000000"/>
          <w:lang w:bidi="ar-AE"/>
        </w:rPr>
        <w:t>. despite these efficiencies, critics caution that the deployment of AI in arbitration may lack sufficient transparency, risk embedding existing biases into decision-making processes, and encourage excessive reliance on automated outputs at the expense of human judgment</w:t>
      </w:r>
      <w:r>
        <w:rPr>
          <w:rStyle w:val="FootnoteReference"/>
          <w:rFonts w:asciiTheme="majorBidi" w:eastAsia="Calibri" w:hAnsiTheme="majorBidi" w:cstheme="majorBidi"/>
          <w:color w:val="000000"/>
          <w:lang w:bidi="ar-AE"/>
        </w:rPr>
        <w:footnoteReference w:id="73"/>
      </w:r>
      <w:r>
        <w:rPr>
          <w:rFonts w:asciiTheme="majorBidi" w:eastAsia="Calibri" w:hAnsiTheme="majorBidi" w:cstheme="majorBidi"/>
          <w:color w:val="000000"/>
          <w:lang w:bidi="ar-AE"/>
        </w:rPr>
        <w:t xml:space="preserve">. Empirical research indicates that AI systems trained on incomplete or biased datasets may inadvertently disadvantage certain parties, particularly in cross-border disputes where cultural, linguistic, and legal nuances require careful contextual assessment </w:t>
      </w:r>
      <w:r>
        <w:rPr>
          <w:rStyle w:val="FootnoteReference"/>
          <w:rFonts w:asciiTheme="majorBidi" w:eastAsia="Calibri" w:hAnsiTheme="majorBidi" w:cstheme="majorBidi"/>
          <w:color w:val="000000"/>
          <w:lang w:bidi="ar-AE"/>
        </w:rPr>
        <w:footnoteReference w:id="74"/>
      </w:r>
      <w:r>
        <w:rPr>
          <w:rFonts w:asciiTheme="majorBidi" w:eastAsia="Calibri" w:hAnsiTheme="majorBidi" w:cstheme="majorBidi"/>
          <w:color w:val="000000"/>
          <w:lang w:bidi="ar-AE"/>
        </w:rPr>
        <w:t>. In response to these concerns, arbitral institutions and regulatory bodies have increasingly emphasised the need for explainable and transparent AI models, robust human-in-the-loop oversight, and clear standards of algorithmic accountability. These measures are essential to ensuring that AI-assisted arbitration processes uphold principles of fairness, impartiality, and procedural justice.</w:t>
      </w:r>
    </w:p>
    <w:p w14:paraId="1191BBC7" w14:textId="77777777" w:rsidR="00E95EC8" w:rsidRPr="008819FD" w:rsidRDefault="00E95EC8" w:rsidP="00663759">
      <w:pPr>
        <w:shd w:val="clear" w:color="auto" w:fill="FFFFFF"/>
        <w:spacing w:after="0" w:line="480" w:lineRule="auto"/>
        <w:ind w:firstLine="720"/>
        <w:rPr>
          <w:rFonts w:asciiTheme="majorBidi" w:eastAsia="Calibri" w:hAnsiTheme="majorBidi" w:cstheme="majorBidi"/>
          <w:color w:val="000000"/>
          <w:lang w:bidi="ar-AE"/>
        </w:rPr>
      </w:pPr>
    </w:p>
    <w:p w14:paraId="1EDD839B" w14:textId="77777777" w:rsidR="00E95EC8" w:rsidRPr="008819FD" w:rsidRDefault="00E95EC8" w:rsidP="00663759">
      <w:pPr>
        <w:shd w:val="clear" w:color="auto" w:fill="FFFFFF"/>
        <w:spacing w:after="0" w:line="480" w:lineRule="auto"/>
        <w:ind w:firstLine="720"/>
        <w:rPr>
          <w:rFonts w:asciiTheme="majorBidi" w:eastAsia="Calibri" w:hAnsiTheme="majorBidi" w:cstheme="majorBidi"/>
          <w:color w:val="000000"/>
          <w:lang w:bidi="ar-AE"/>
        </w:rPr>
      </w:pPr>
    </w:p>
    <w:p w14:paraId="330EA1A2" w14:textId="77777777" w:rsidR="00F073C0" w:rsidRPr="008819FD" w:rsidRDefault="00F073C0" w:rsidP="00663759">
      <w:pPr>
        <w:numPr>
          <w:ilvl w:val="0"/>
          <w:numId w:val="8"/>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Data Privacy and Compliance with Global Regulations</w:t>
      </w:r>
    </w:p>
    <w:p w14:paraId="535B92E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Data protection and privacy compliance constitute a further complex challenge for the effective operation of online arbitration. Regulatory regimes governing personal and corporate data most notably those adopted within the European Union impose stringent obligations on how digital platforms collect, process, store, and transfer information</w:t>
      </w:r>
      <w:r>
        <w:rPr>
          <w:rStyle w:val="FootnoteReference"/>
          <w:rFonts w:asciiTheme="majorBidi" w:eastAsia="Calibri" w:hAnsiTheme="majorBidi" w:cstheme="majorBidi"/>
          <w:color w:val="000000"/>
          <w:lang w:bidi="ar-AE"/>
        </w:rPr>
        <w:footnoteReference w:id="75"/>
      </w:r>
      <w:r>
        <w:rPr>
          <w:rFonts w:asciiTheme="majorBidi" w:eastAsia="Calibri" w:hAnsiTheme="majorBidi" w:cstheme="majorBidi"/>
          <w:color w:val="000000"/>
          <w:lang w:bidi="ar-AE"/>
        </w:rPr>
        <w:t>. For online arbitration providers, failure to comply with such data protection requirements may expose institutions and parties to significant legal liability, financial sanctions, and reputational harm</w:t>
      </w:r>
      <w:r>
        <w:rPr>
          <w:rStyle w:val="FootnoteReference"/>
          <w:rFonts w:asciiTheme="majorBidi" w:eastAsia="Calibri" w:hAnsiTheme="majorBidi" w:cstheme="majorBidi"/>
          <w:color w:val="000000"/>
          <w:lang w:bidi="ar-AE"/>
        </w:rPr>
        <w:footnoteReference w:id="76"/>
      </w:r>
      <w:r>
        <w:rPr>
          <w:rFonts w:asciiTheme="majorBidi" w:eastAsia="Calibri" w:hAnsiTheme="majorBidi" w:cstheme="majorBidi"/>
          <w:color w:val="000000"/>
          <w:lang w:bidi="ar-AE"/>
        </w:rPr>
        <w:t>. These challenges are compounded by jurisdictional variations in data governance, including restrictions on cross-border data transfers, data localisation requirements, and consent management obligations such regulatory fragmentation complicates the development of standardised online arbitration platforms capable of operating seamlessly across multiple legal systems</w:t>
      </w:r>
      <w:r>
        <w:rPr>
          <w:rStyle w:val="FootnoteReference"/>
          <w:rFonts w:asciiTheme="majorBidi" w:eastAsia="Calibri" w:hAnsiTheme="majorBidi" w:cstheme="majorBidi"/>
          <w:color w:val="000000"/>
          <w:lang w:bidi="ar-AE"/>
        </w:rPr>
        <w:footnoteReference w:id="77"/>
      </w:r>
      <w:r>
        <w:rPr>
          <w:rFonts w:asciiTheme="majorBidi" w:eastAsia="Calibri" w:hAnsiTheme="majorBidi" w:cstheme="majorBidi"/>
          <w:color w:val="000000"/>
          <w:lang w:bidi="ar-AE"/>
        </w:rPr>
        <w:t>. To address these issues, arbitral institutions are increasingly required to adopt jurisdiction-specific privacy frameworks, implement robust access control mechanisms, and utilise advanced compliance monitoring technologies—often supported by artificial intelligence—to ensure continuous adherence to evolving data protection standards.</w:t>
      </w:r>
      <w:r>
        <w:rPr>
          <w:rStyle w:val="FootnoteReference"/>
          <w:rFonts w:asciiTheme="majorBidi" w:eastAsia="Calibri" w:hAnsiTheme="majorBidi" w:cstheme="majorBidi"/>
          <w:color w:val="000000"/>
          <w:lang w:bidi="ar-AE"/>
        </w:rPr>
        <w:footnoteReference w:id="78"/>
      </w:r>
      <w:r>
        <w:rPr>
          <w:rFonts w:asciiTheme="majorBidi" w:eastAsia="Calibri" w:hAnsiTheme="majorBidi" w:cstheme="majorBidi"/>
          <w:color w:val="000000"/>
          <w:lang w:bidi="ar-AE"/>
        </w:rPr>
        <w:t>.</w:t>
      </w:r>
    </w:p>
    <w:p w14:paraId="7B1F739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p>
    <w:p w14:paraId="00A27998" w14:textId="77777777" w:rsidR="00A94B2B" w:rsidRPr="008819FD" w:rsidRDefault="00A94B2B" w:rsidP="00663759">
      <w:pPr>
        <w:shd w:val="clear" w:color="auto" w:fill="FFFFFF"/>
        <w:spacing w:after="0" w:line="480" w:lineRule="auto"/>
        <w:ind w:firstLine="720"/>
        <w:rPr>
          <w:rFonts w:asciiTheme="majorBidi" w:eastAsia="Calibri" w:hAnsiTheme="majorBidi" w:cstheme="majorBidi"/>
          <w:color w:val="000000"/>
          <w:lang w:bidi="ar-AE"/>
        </w:rPr>
      </w:pPr>
    </w:p>
    <w:p w14:paraId="741F7AEE" w14:textId="77777777" w:rsidR="00A94B2B" w:rsidRPr="008819FD" w:rsidRDefault="00A94B2B" w:rsidP="00663759">
      <w:pPr>
        <w:shd w:val="clear" w:color="auto" w:fill="FFFFFF"/>
        <w:spacing w:after="0" w:line="480" w:lineRule="auto"/>
        <w:ind w:firstLine="720"/>
        <w:rPr>
          <w:rFonts w:asciiTheme="majorBidi" w:eastAsia="Calibri" w:hAnsiTheme="majorBidi" w:cstheme="majorBidi"/>
          <w:color w:val="000000"/>
          <w:lang w:bidi="ar-AE"/>
        </w:rPr>
      </w:pPr>
    </w:p>
    <w:p w14:paraId="76BBFDEF" w14:textId="77777777" w:rsidR="00F073C0" w:rsidRPr="008819FD" w:rsidRDefault="00F073C0" w:rsidP="00663759">
      <w:pPr>
        <w:numPr>
          <w:ilvl w:val="0"/>
          <w:numId w:val="8"/>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Lack of Standardised Online Arbitration Platforms</w:t>
      </w:r>
    </w:p>
    <w:p w14:paraId="2509C0C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 xml:space="preserve">The absence of standardised technological platforms represents a further obstacle to the global diffusion of online arbitration. Unlike conventional arbitration, which is governed by relatively uniform institutional frameworks such as those developed by the </w:t>
      </w:r>
      <w:r>
        <w:rPr>
          <w:rFonts w:asciiTheme="majorBidi" w:eastAsia="Calibri" w:hAnsiTheme="majorBidi" w:cstheme="majorBidi"/>
          <w:b/>
          <w:bCs/>
          <w:color w:val="000000"/>
          <w:lang w:bidi="ar-AE"/>
        </w:rPr>
        <w:t>International Chamber of Commerce</w:t>
      </w:r>
      <w:r>
        <w:rPr>
          <w:rFonts w:asciiTheme="majorBidi" w:eastAsia="Calibri" w:hAnsiTheme="majorBidi" w:cstheme="majorBidi"/>
          <w:color w:val="000000"/>
          <w:lang w:bidi="ar-AE"/>
        </w:rPr>
        <w:t xml:space="preserve">, the </w:t>
      </w:r>
      <w:r>
        <w:rPr>
          <w:rFonts w:asciiTheme="majorBidi" w:eastAsia="Calibri" w:hAnsiTheme="majorBidi" w:cstheme="majorBidi"/>
          <w:b/>
          <w:bCs/>
          <w:color w:val="000000"/>
          <w:lang w:bidi="ar-AE"/>
        </w:rPr>
        <w:t>London Court of International Arbitration</w:t>
      </w:r>
      <w:r>
        <w:rPr>
          <w:rFonts w:asciiTheme="majorBidi" w:eastAsia="Calibri" w:hAnsiTheme="majorBidi" w:cstheme="majorBidi"/>
          <w:color w:val="000000"/>
          <w:lang w:bidi="ar-AE"/>
        </w:rPr>
        <w:t xml:space="preserve">, and the </w:t>
      </w:r>
      <w:r>
        <w:rPr>
          <w:rFonts w:asciiTheme="majorBidi" w:eastAsia="Calibri" w:hAnsiTheme="majorBidi" w:cstheme="majorBidi"/>
          <w:b/>
          <w:bCs/>
          <w:color w:val="000000"/>
          <w:lang w:bidi="ar-AE"/>
        </w:rPr>
        <w:t xml:space="preserve">Singapore International Arbitration Centre </w:t>
      </w:r>
      <w:r>
        <w:rPr>
          <w:rFonts w:asciiTheme="majorBidi" w:eastAsia="Calibri" w:hAnsiTheme="majorBidi" w:cstheme="majorBidi"/>
          <w:color w:val="000000"/>
          <w:lang w:bidi="ar-AE"/>
        </w:rPr>
        <w:t>, online arbitration systems exhibit considerable variation in their technical architecture, procedural design, and security arrangements</w:t>
      </w:r>
      <w:r>
        <w:rPr>
          <w:rStyle w:val="FootnoteReference"/>
          <w:rFonts w:asciiTheme="majorBidi" w:eastAsia="Calibri" w:hAnsiTheme="majorBidi" w:cstheme="majorBidi"/>
          <w:color w:val="000000"/>
          <w:lang w:bidi="ar-AE"/>
        </w:rPr>
        <w:footnoteReference w:id="79"/>
      </w:r>
      <w:r>
        <w:rPr>
          <w:rFonts w:asciiTheme="majorBidi" w:eastAsia="Calibri" w:hAnsiTheme="majorBidi" w:cstheme="majorBidi"/>
          <w:color w:val="000000"/>
          <w:lang w:bidi="ar-AE"/>
        </w:rPr>
        <w:t>.</w:t>
      </w:r>
    </w:p>
    <w:p w14:paraId="023524A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In practice, some platforms rely on basic videoconferencing and document-sharing tools, whereas others incorporate advanced functionalities such as AI-assisted legal analytics and blockchain-enabled evidence management. This lack of uniformity can result in inconsistent procedural safeguards, uneven user experiences, and divergent levels of data security. Moreover, the absence of commonly accepted technical and procedural standards complicates interoperability between platforms and raises challenges for the cross-border recognition and enforcement of digitally rendered arbitral awards. Although international arbitration bodies and standard-setting organisations have initiated efforts to develop harmonised technical benchmarks for online arbitration, the consistent and widespread implementation of such standards remains an ongoing and long-term challenge</w:t>
      </w:r>
      <w:r>
        <w:rPr>
          <w:rStyle w:val="FootnoteReference"/>
          <w:rFonts w:asciiTheme="majorBidi" w:eastAsia="Calibri" w:hAnsiTheme="majorBidi" w:cstheme="majorBidi"/>
          <w:color w:val="000000"/>
          <w:lang w:bidi="ar-AE"/>
        </w:rPr>
        <w:footnoteReference w:id="80"/>
      </w:r>
      <w:r>
        <w:rPr>
          <w:rFonts w:asciiTheme="majorBidi" w:eastAsia="Calibri" w:hAnsiTheme="majorBidi" w:cstheme="majorBidi"/>
          <w:color w:val="000000"/>
          <w:lang w:bidi="ar-AE"/>
        </w:rPr>
        <w:t>.</w:t>
      </w:r>
    </w:p>
    <w:p w14:paraId="4BCBE16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Online arbitration is confronted with a range of technical and structural challenges, including cybersecurity risks, difficulties in authenticating electronic evidence, unequal digital access, concerns regarding system reliability, ethical implications of artificial intelligence, </w:t>
      </w:r>
      <w:r>
        <w:rPr>
          <w:rFonts w:asciiTheme="majorBidi" w:eastAsia="Calibri" w:hAnsiTheme="majorBidi" w:cstheme="majorBidi"/>
          <w:color w:val="000000"/>
          <w:lang w:bidi="ar-AE"/>
        </w:rPr>
        <w:lastRenderedPageBreak/>
        <w:t>data protection obligations, and the absence of uniform technological standards. Although recent technological developments such as blockchain-based verification systems, AI-supported case management, and automated regulatory compliance tools offer promising solutions, their effectiveness depends on consistent implementation, regular updating, and broad institutional acceptance</w:t>
      </w:r>
      <w:r>
        <w:rPr>
          <w:rStyle w:val="FootnoteReference"/>
          <w:rFonts w:asciiTheme="majorBidi" w:eastAsia="Calibri" w:hAnsiTheme="majorBidi" w:cstheme="majorBidi"/>
          <w:color w:val="000000"/>
          <w:lang w:bidi="ar-AE"/>
        </w:rPr>
        <w:footnoteReference w:id="81"/>
      </w:r>
      <w:r>
        <w:rPr>
          <w:rFonts w:asciiTheme="majorBidi" w:eastAsia="Calibri" w:hAnsiTheme="majorBidi" w:cstheme="majorBidi"/>
          <w:color w:val="000000"/>
          <w:lang w:bidi="ar-AE"/>
        </w:rPr>
        <w:t xml:space="preserve">. The sustainable advancement of online arbitration will therefore require coordinated efforts among legal practitioners, technology providers, arbitral institutions, and policymakers to develop resilient security infrastructures, harmonised procedural and technical standards, and reliable cross-border enforcement mechanisms. Where these challenges are addressed in a comprehensive and coherent manner, online arbitration has the capacity to significantly transform international dispute resolution and to serve as a credible, efficient, and secure mechanism in the evolving digital legal landscape </w:t>
      </w:r>
      <w:r>
        <w:rPr>
          <w:rStyle w:val="FootnoteReference"/>
          <w:rFonts w:asciiTheme="majorBidi" w:eastAsia="Calibri" w:hAnsiTheme="majorBidi" w:cstheme="majorBidi"/>
          <w:color w:val="000000"/>
          <w:lang w:bidi="ar-AE"/>
        </w:rPr>
        <w:footnoteReference w:id="82"/>
      </w:r>
      <w:r>
        <w:rPr>
          <w:rFonts w:asciiTheme="majorBidi" w:eastAsia="Calibri" w:hAnsiTheme="majorBidi" w:cstheme="majorBidi"/>
          <w:color w:val="000000"/>
          <w:lang w:bidi="ar-AE"/>
        </w:rPr>
        <w:t>. If these challenges are addressed effectively, online arbitration has the potential to revolutionize international dispute resolution in the digital age</w:t>
      </w:r>
      <w:r>
        <w:rPr>
          <w:rStyle w:val="FootnoteReference"/>
          <w:rFonts w:asciiTheme="majorBidi" w:eastAsia="Calibri" w:hAnsiTheme="majorBidi" w:cstheme="majorBidi"/>
          <w:color w:val="000000"/>
          <w:lang w:bidi="ar-AE"/>
        </w:rPr>
        <w:footnoteReference w:id="83"/>
      </w:r>
      <w:r>
        <w:rPr>
          <w:rFonts w:asciiTheme="majorBidi" w:eastAsia="Calibri" w:hAnsiTheme="majorBidi" w:cstheme="majorBidi"/>
          <w:color w:val="000000"/>
          <w:lang w:bidi="ar-AE"/>
        </w:rPr>
        <w:t>.</w:t>
      </w:r>
    </w:p>
    <w:p w14:paraId="6792F1E0" w14:textId="77777777" w:rsidR="00F073C0" w:rsidRPr="008819FD" w:rsidRDefault="00F073C0" w:rsidP="009F5ACD">
      <w:pPr>
        <w:pStyle w:val="Heading3"/>
        <w:rPr>
          <w:rFonts w:asciiTheme="majorBidi" w:hAnsiTheme="majorBidi" w:cstheme="majorBidi"/>
        </w:rPr>
      </w:pPr>
      <w:bookmarkStart w:id="56" w:name="_Toc190813275"/>
      <w:bookmarkStart w:id="57" w:name="_Toc209626922"/>
      <w:bookmarkStart w:id="58" w:name="_Toc217491559"/>
      <w:bookmarkStart w:id="59" w:name="_Toc221804509"/>
      <w:r>
        <w:rPr>
          <w:rFonts w:asciiTheme="majorBidi" w:hAnsiTheme="majorBidi" w:cstheme="majorBidi"/>
        </w:rPr>
        <w:t>Acceptance of Online Arbitration in Different Legal Systems</w:t>
      </w:r>
      <w:bookmarkEnd w:id="56"/>
      <w:bookmarkEnd w:id="57"/>
      <w:bookmarkEnd w:id="58"/>
      <w:bookmarkEnd w:id="59"/>
    </w:p>
    <w:p w14:paraId="0B561DD5"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degree to which online arbitration is accepted differs markedly across jurisdictions, reflecting variations in legal traditions, regulatory approaches, judicial attitudes, and domestic arbitration laws.</w:t>
      </w:r>
      <w:r>
        <w:rPr>
          <w:rStyle w:val="FootnoteReference"/>
          <w:rFonts w:asciiTheme="majorBidi" w:eastAsia="Calibri" w:hAnsiTheme="majorBidi" w:cstheme="majorBidi"/>
          <w:color w:val="000000"/>
          <w:lang w:bidi="ar-AE"/>
        </w:rPr>
        <w:footnoteReference w:id="84"/>
      </w:r>
      <w:r>
        <w:rPr>
          <w:rFonts w:asciiTheme="majorBidi" w:eastAsia="Calibri" w:hAnsiTheme="majorBidi" w:cstheme="majorBidi"/>
          <w:color w:val="000000"/>
          <w:lang w:bidi="ar-AE"/>
        </w:rPr>
        <w:t xml:space="preserve">. While several states have formally recognised and integrated online arbitration within their legal frameworks, others remain cautious, primarily due to </w:t>
      </w:r>
      <w:r>
        <w:rPr>
          <w:rFonts w:asciiTheme="majorBidi" w:eastAsia="Calibri" w:hAnsiTheme="majorBidi" w:cstheme="majorBidi"/>
          <w:color w:val="000000"/>
          <w:lang w:bidi="ar-AE"/>
        </w:rPr>
        <w:lastRenderedPageBreak/>
        <w:t>concerns relating to procedural fairness, due process guarantees, and the recognition and enforcement of electronically issued arbitral awards.</w:t>
      </w:r>
      <w:r>
        <w:rPr>
          <w:rStyle w:val="FootnoteReference"/>
          <w:rFonts w:asciiTheme="majorBidi" w:eastAsia="Calibri" w:hAnsiTheme="majorBidi" w:cstheme="majorBidi"/>
          <w:color w:val="000000"/>
          <w:lang w:bidi="ar-AE"/>
        </w:rPr>
        <w:footnoteReference w:id="85"/>
      </w:r>
      <w:r>
        <w:rPr>
          <w:rFonts w:asciiTheme="majorBidi" w:eastAsia="Calibri" w:hAnsiTheme="majorBidi" w:cstheme="majorBidi"/>
          <w:color w:val="000000"/>
          <w:lang w:bidi="ar-AE"/>
        </w:rPr>
        <w:t>. his uneven level of legal acceptance has resulted in fragmented practices and divergent interpretations of online arbitration at the national level. Consequently, parties seeking to resolve disputes through digital arbitral mechanisms may encounter legal uncertainty, particularly in cross-border contexts where differing standards of recognition and enforcement apply. Such inconsistencies continue to pose practical and legal challenges for businesses and individuals operating in an increasingly digital and globalised dispute resolution environment.</w:t>
      </w:r>
    </w:p>
    <w:p w14:paraId="01C326BC" w14:textId="77777777" w:rsidR="00F073C0" w:rsidRPr="008819FD" w:rsidRDefault="00F073C0" w:rsidP="00663759">
      <w:pPr>
        <w:numPr>
          <w:ilvl w:val="1"/>
          <w:numId w:val="6"/>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Jurisdictions with Progressive Online Arbitration Frameworks</w:t>
      </w:r>
    </w:p>
    <w:p w14:paraId="36B1B02C"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 number of jurisdictions with well-developed legal systems and advanced technological capacity have taken proactive steps to integrate online arbitration into their dispute resolution frameworks. States such as Singapore, Switzerland, Hong Kong, and the United Arab Emirates have adopted arbitration regimes that expressly accommodate digital and electronically conducted proceedings, thereby recognising online arbitration as a valid and enforceable mechanism.</w:t>
      </w:r>
      <w:r>
        <w:rPr>
          <w:rStyle w:val="FootnoteReference"/>
          <w:rFonts w:asciiTheme="majorBidi" w:eastAsia="Calibri" w:hAnsiTheme="majorBidi" w:cstheme="majorBidi"/>
          <w:color w:val="000000"/>
          <w:lang w:bidi="ar-AE"/>
        </w:rPr>
        <w:footnoteReference w:id="86"/>
      </w:r>
      <w:r>
        <w:rPr>
          <w:rFonts w:asciiTheme="majorBidi" w:eastAsia="Calibri" w:hAnsiTheme="majorBidi" w:cstheme="majorBidi"/>
          <w:color w:val="000000"/>
          <w:lang w:bidi="ar-AE"/>
        </w:rPr>
        <w:t xml:space="preserve">. In Singapore, legislative reforms to its arbitration framework have facilitated the use of digital dispute resolution processes, ensuring that arbitral awards rendered through electronic means retain full legal effect under domestic law. Switzerland has similarly reinforced its reputation as an arbitration-friendly jurisdiction by enabling arbitral institutions to integrate advanced technologies—such as blockchain-based evidentiary </w:t>
      </w:r>
      <w:r>
        <w:rPr>
          <w:rFonts w:asciiTheme="majorBidi" w:eastAsia="Calibri" w:hAnsiTheme="majorBidi" w:cstheme="majorBidi"/>
          <w:color w:val="000000"/>
          <w:lang w:bidi="ar-AE"/>
        </w:rPr>
        <w:lastRenderedPageBreak/>
        <w:t>verification and AI-supported procedural tools—within online arbitration platforms.</w:t>
      </w:r>
      <w:r>
        <w:rPr>
          <w:rStyle w:val="FootnoteReference"/>
          <w:rFonts w:asciiTheme="majorBidi" w:eastAsia="Calibri" w:hAnsiTheme="majorBidi" w:cstheme="majorBidi"/>
          <w:color w:val="000000"/>
          <w:lang w:bidi="ar-AE"/>
        </w:rPr>
        <w:footnoteReference w:id="87"/>
      </w:r>
      <w:r>
        <w:rPr>
          <w:rFonts w:asciiTheme="majorBidi" w:eastAsia="Calibri" w:hAnsiTheme="majorBidi" w:cstheme="majorBidi"/>
          <w:color w:val="000000"/>
          <w:lang w:bidi="ar-AE"/>
        </w:rPr>
        <w:t xml:space="preserve"> These jurisdictions exemplify a progressive regulatory approach, acknowledging the capacity of online arbitration to reduce procedural costs, expand access to justice, and enhance efficiency in the resolution of commercial and international disputes. Their experiences illustrate how legal adaptability and technological readiness can jointly support the legitimacy and practical effectiveness of digital arbitration mechanisms</w:t>
      </w:r>
      <w:r>
        <w:rPr>
          <w:rStyle w:val="FootnoteReference"/>
          <w:rFonts w:asciiTheme="majorBidi" w:eastAsia="Calibri" w:hAnsiTheme="majorBidi" w:cstheme="majorBidi"/>
          <w:color w:val="000000"/>
          <w:lang w:bidi="ar-AE"/>
        </w:rPr>
        <w:footnoteReference w:id="88"/>
      </w:r>
      <w:r>
        <w:rPr>
          <w:rFonts w:asciiTheme="majorBidi" w:eastAsia="Calibri" w:hAnsiTheme="majorBidi" w:cstheme="majorBidi"/>
          <w:color w:val="000000"/>
          <w:lang w:bidi="ar-AE"/>
        </w:rPr>
        <w:t>.</w:t>
      </w:r>
    </w:p>
    <w:p w14:paraId="59C0527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p>
    <w:p w14:paraId="42287ED7" w14:textId="77777777" w:rsidR="00F073C0" w:rsidRPr="008819FD" w:rsidRDefault="00F073C0" w:rsidP="00663759">
      <w:pPr>
        <w:numPr>
          <w:ilvl w:val="1"/>
          <w:numId w:val="6"/>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Jurisdictions with Restrictive or Ambiguous Online Arbitration Policies</w:t>
      </w:r>
    </w:p>
    <w:p w14:paraId="2696CF4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By contrast, a number of jurisdictions have been more cautious in accepting online arbitration, largely due to the persistence of formal legal requirements that prioritise physical documentation, face-to-face hearings, and conventional procedural safeguards</w:t>
      </w:r>
      <w:r>
        <w:rPr>
          <w:rStyle w:val="FootnoteReference"/>
          <w:rFonts w:asciiTheme="majorBidi" w:eastAsia="Calibri" w:hAnsiTheme="majorBidi" w:cstheme="majorBidi"/>
          <w:color w:val="000000"/>
          <w:lang w:bidi="ar-AE"/>
        </w:rPr>
        <w:footnoteReference w:id="89"/>
      </w:r>
      <w:r>
        <w:rPr>
          <w:rFonts w:asciiTheme="majorBidi" w:eastAsia="Calibri" w:hAnsiTheme="majorBidi" w:cstheme="majorBidi"/>
          <w:color w:val="000000"/>
          <w:lang w:bidi="ar-AE"/>
        </w:rPr>
        <w:t xml:space="preserve">. Comparable challenges arise in certain jurisdictions within the United States, where variations in state legislation continue to impose limitations on the recognition of electronic signatures in arbitral agreements </w:t>
      </w:r>
      <w:r>
        <w:rPr>
          <w:rStyle w:val="FootnoteReference"/>
          <w:rFonts w:asciiTheme="majorBidi" w:eastAsia="Calibri" w:hAnsiTheme="majorBidi" w:cstheme="majorBidi"/>
          <w:color w:val="000000"/>
          <w:lang w:bidi="ar-AE"/>
        </w:rPr>
        <w:footnoteReference w:id="90"/>
      </w:r>
      <w:r>
        <w:rPr>
          <w:rFonts w:asciiTheme="majorBidi" w:eastAsia="Calibri" w:hAnsiTheme="majorBidi" w:cstheme="majorBidi"/>
          <w:color w:val="000000"/>
          <w:lang w:bidi="ar-AE"/>
        </w:rPr>
        <w:t xml:space="preserve">. Such legal constraints raise doubts regarding the enforceability of fully digital arbitration proceedings and the awards derived from them. As a result, courts in these jurisdictions may be hesitant to recognise or enforce online arbitration awards where procedural guarantees are perceived as insufficient or inadequately documented </w:t>
      </w:r>
      <w:r>
        <w:rPr>
          <w:rStyle w:val="FootnoteReference"/>
          <w:rFonts w:asciiTheme="majorBidi" w:eastAsia="Calibri" w:hAnsiTheme="majorBidi" w:cstheme="majorBidi"/>
          <w:color w:val="000000"/>
          <w:lang w:bidi="ar-AE"/>
        </w:rPr>
        <w:footnoteReference w:id="91"/>
      </w:r>
      <w:r>
        <w:rPr>
          <w:rFonts w:asciiTheme="majorBidi" w:eastAsia="Calibri" w:hAnsiTheme="majorBidi" w:cstheme="majorBidi"/>
          <w:color w:val="000000"/>
          <w:lang w:bidi="ar-AE"/>
        </w:rPr>
        <w:t xml:space="preserve">. This judicial reluctance contributes to legal uncertainty, particularly for commercial actors engaged </w:t>
      </w:r>
      <w:r>
        <w:rPr>
          <w:rFonts w:asciiTheme="majorBidi" w:eastAsia="Calibri" w:hAnsiTheme="majorBidi" w:cstheme="majorBidi"/>
          <w:color w:val="000000"/>
          <w:lang w:bidi="ar-AE"/>
        </w:rPr>
        <w:lastRenderedPageBreak/>
        <w:t xml:space="preserve">in cross-border transactions who seek predictable and uniform dispute resolution mechanisms across multiple legal systems </w:t>
      </w:r>
      <w:r>
        <w:rPr>
          <w:rStyle w:val="FootnoteReference"/>
          <w:rFonts w:asciiTheme="majorBidi" w:eastAsia="Calibri" w:hAnsiTheme="majorBidi" w:cstheme="majorBidi"/>
          <w:color w:val="000000"/>
          <w:lang w:bidi="ar-AE"/>
        </w:rPr>
        <w:footnoteReference w:id="92"/>
      </w:r>
      <w:r>
        <w:rPr>
          <w:rFonts w:asciiTheme="majorBidi" w:eastAsia="Calibri" w:hAnsiTheme="majorBidi" w:cstheme="majorBidi"/>
          <w:color w:val="000000"/>
          <w:lang w:bidi="ar-AE"/>
        </w:rPr>
        <w:t>.</w:t>
      </w:r>
    </w:p>
    <w:p w14:paraId="0299BF97" w14:textId="77777777" w:rsidR="00F073C0" w:rsidRPr="008819FD" w:rsidRDefault="00F073C0" w:rsidP="00663759">
      <w:pPr>
        <w:numPr>
          <w:ilvl w:val="1"/>
          <w:numId w:val="6"/>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The Role of International Arbitration Institutions</w:t>
      </w:r>
    </w:p>
    <w:p w14:paraId="5F57C89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International arbitral institutions play a central role in promoting convergence and consistency in the acceptance of online arbitration across diverse legal systems. Leading bodies such as the International Chamber of Commerce, the London Court of International Arbitration, the American Arbitration Association, and the Singapore International Arbitration Centre  have revised their procedural rules to expressly accommodate digital practices, including virtual hearings, electronic filing of submissions, and the issuance of arbitral awards in electronic form</w:t>
      </w:r>
      <w:r>
        <w:rPr>
          <w:rStyle w:val="FootnoteReference"/>
          <w:rFonts w:asciiTheme="majorBidi" w:eastAsia="Calibri" w:hAnsiTheme="majorBidi" w:cstheme="majorBidi"/>
          <w:color w:val="000000"/>
          <w:lang w:bidi="ar-AE"/>
        </w:rPr>
        <w:footnoteReference w:id="93"/>
      </w:r>
      <w:r>
        <w:rPr>
          <w:rFonts w:asciiTheme="majorBidi" w:eastAsia="Calibri" w:hAnsiTheme="majorBidi" w:cstheme="majorBidi"/>
          <w:color w:val="000000"/>
          <w:lang w:bidi="ar-AE"/>
        </w:rPr>
        <w:t>. The ICC, in particular, has adopted procedural provisions that affirm the legal equivalence of electronic arbitration agreements and digitally conducted proceedings with their traditional, paper-based counterparts</w:t>
      </w:r>
      <w:r>
        <w:rPr>
          <w:rStyle w:val="FootnoteReference"/>
          <w:rFonts w:asciiTheme="majorBidi" w:eastAsia="Calibri" w:hAnsiTheme="majorBidi" w:cstheme="majorBidi"/>
          <w:color w:val="000000"/>
          <w:lang w:bidi="ar-AE"/>
        </w:rPr>
        <w:footnoteReference w:id="94"/>
      </w:r>
      <w:r>
        <w:rPr>
          <w:rFonts w:asciiTheme="majorBidi" w:eastAsia="Calibri" w:hAnsiTheme="majorBidi" w:cstheme="majorBidi"/>
          <w:color w:val="000000"/>
          <w:lang w:bidi="ar-AE"/>
        </w:rPr>
        <w:t xml:space="preserve">. In doing so, they help bridge disparities between jurisdictions with varying levels of readiness and acceptance of online arbitration, thereby strengthening its legitimacy and global applicability </w:t>
      </w:r>
      <w:r>
        <w:rPr>
          <w:rStyle w:val="FootnoteReference"/>
          <w:rFonts w:asciiTheme="majorBidi" w:eastAsia="Calibri" w:hAnsiTheme="majorBidi" w:cstheme="majorBidi"/>
          <w:color w:val="000000"/>
          <w:lang w:bidi="ar-AE"/>
        </w:rPr>
        <w:footnoteReference w:id="95"/>
      </w:r>
      <w:r>
        <w:rPr>
          <w:rFonts w:asciiTheme="majorBidi" w:eastAsia="Calibri" w:hAnsiTheme="majorBidi" w:cstheme="majorBidi"/>
          <w:color w:val="000000"/>
          <w:lang w:bidi="ar-AE"/>
        </w:rPr>
        <w:t>.</w:t>
      </w:r>
    </w:p>
    <w:p w14:paraId="45B62BCF" w14:textId="77777777" w:rsidR="00F073C0" w:rsidRPr="008819FD" w:rsidRDefault="00F073C0" w:rsidP="00663759">
      <w:pPr>
        <w:numPr>
          <w:ilvl w:val="1"/>
          <w:numId w:val="6"/>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The Influence of the New York Convention (1958) on Online Arbitration</w:t>
      </w:r>
    </w:p>
    <w:p w14:paraId="78BB797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New York Convention on the Recognition and Enforcement of Foreign Arbitral Awards continues to constitute the cornerstone of the international arbitration enforcement regime. By obligating contracting states to recognise and enforce foreign arbitral awards, the Convention provides a robust legal framework that underpins arbitration as a reliable </w:t>
      </w:r>
      <w:r>
        <w:rPr>
          <w:rFonts w:asciiTheme="majorBidi" w:eastAsia="Calibri" w:hAnsiTheme="majorBidi" w:cstheme="majorBidi"/>
          <w:color w:val="000000"/>
          <w:lang w:bidi="ar-AE"/>
        </w:rPr>
        <w:lastRenderedPageBreak/>
        <w:t>mechanism for resolving cross-border disputes in more than 160 jurisdictions.</w:t>
      </w:r>
      <w:r>
        <w:rPr>
          <w:rStyle w:val="FootnoteReference"/>
          <w:rFonts w:asciiTheme="majorBidi" w:eastAsia="Calibri" w:hAnsiTheme="majorBidi" w:cstheme="majorBidi"/>
          <w:color w:val="000000"/>
          <w:lang w:bidi="ar-AE"/>
        </w:rPr>
        <w:footnoteReference w:id="96"/>
      </w:r>
      <w:r>
        <w:rPr>
          <w:rFonts w:asciiTheme="majorBidi" w:eastAsia="Calibri" w:hAnsiTheme="majorBidi" w:cstheme="majorBidi"/>
          <w:color w:val="000000"/>
          <w:lang w:bidi="ar-AE"/>
        </w:rPr>
        <w:t xml:space="preserve">. Nevertheless, the Convention was drafted at a time when arbitration was conducted almost exclusively through traditional, paper-based procedures. As a result, it does not expressly regulate electronically conducted arbitral proceedings or awards rendered in fully digital form. This omission has generated scholarly debate regarding whether awards produced through online arbitration benefit from the same level of enforceability as those issued through conventional processes </w:t>
      </w:r>
      <w:r>
        <w:rPr>
          <w:rStyle w:val="FootnoteReference"/>
          <w:rFonts w:asciiTheme="majorBidi" w:eastAsia="Calibri" w:hAnsiTheme="majorBidi" w:cstheme="majorBidi"/>
          <w:color w:val="000000"/>
          <w:lang w:bidi="ar-AE"/>
        </w:rPr>
        <w:footnoteReference w:id="97"/>
      </w:r>
      <w:r>
        <w:rPr>
          <w:rFonts w:asciiTheme="majorBidi" w:eastAsia="Calibri" w:hAnsiTheme="majorBidi" w:cstheme="majorBidi"/>
          <w:color w:val="000000"/>
          <w:lang w:bidi="ar-AE"/>
        </w:rPr>
        <w:t>. Some commentators maintain that the Convention’s deliberately broad and technology-neutral language can accommodate online arbitration, if core requirements such as due process, party consent, and procedural fairness are satisfied. Others contend that the absence of explicit references to electronic arbitration agreements, digital evidence, and electronic signatures creates interpretive uncertainty, suggesting that formal amendments or supplementary instruments may be required to clarify the Convention’s application to digital arbitration practices.</w:t>
      </w:r>
      <w:r>
        <w:rPr>
          <w:rStyle w:val="FootnoteReference"/>
          <w:rFonts w:asciiTheme="majorBidi" w:eastAsia="Calibri" w:hAnsiTheme="majorBidi" w:cstheme="majorBidi"/>
          <w:color w:val="000000"/>
          <w:lang w:bidi="ar-AE"/>
        </w:rPr>
        <w:footnoteReference w:id="98"/>
      </w:r>
      <w:r>
        <w:rPr>
          <w:rFonts w:asciiTheme="majorBidi" w:eastAsia="Calibri" w:hAnsiTheme="majorBidi" w:cstheme="majorBidi"/>
          <w:color w:val="000000"/>
          <w:lang w:bidi="ar-AE"/>
        </w:rPr>
        <w:t>.</w:t>
      </w:r>
    </w:p>
    <w:p w14:paraId="4B2FBF31" w14:textId="77777777" w:rsidR="00F073C0" w:rsidRPr="008819FD" w:rsidRDefault="00F073C0" w:rsidP="00663759">
      <w:pPr>
        <w:numPr>
          <w:ilvl w:val="1"/>
          <w:numId w:val="6"/>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Judicial Attitudes Toward Online Arbitration</w:t>
      </w:r>
    </w:p>
    <w:p w14:paraId="01C6A97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Judicial responses to online arbitration differ considerably across jurisdictions, shaped by domestic legal traditions, levels of technological integration, and established judicial precedent</w:t>
      </w:r>
      <w:r>
        <w:rPr>
          <w:rStyle w:val="FootnoteReference"/>
          <w:rFonts w:asciiTheme="majorBidi" w:eastAsia="Calibri" w:hAnsiTheme="majorBidi" w:cstheme="majorBidi"/>
          <w:color w:val="000000"/>
          <w:lang w:bidi="ar-AE"/>
        </w:rPr>
        <w:footnoteReference w:id="99"/>
      </w:r>
      <w:r>
        <w:rPr>
          <w:rFonts w:asciiTheme="majorBidi" w:eastAsia="Calibri" w:hAnsiTheme="majorBidi" w:cstheme="majorBidi"/>
          <w:color w:val="000000"/>
          <w:lang w:bidi="ar-AE"/>
        </w:rPr>
        <w:t xml:space="preserve">. Courts in many common law systems generally demonstrate a supportive approach to arbitration, favouring interpretations that uphold the validity and enforcement of </w:t>
      </w:r>
      <w:r>
        <w:rPr>
          <w:rFonts w:asciiTheme="majorBidi" w:eastAsia="Calibri" w:hAnsiTheme="majorBidi" w:cstheme="majorBidi"/>
          <w:color w:val="000000"/>
          <w:lang w:bidi="ar-AE"/>
        </w:rPr>
        <w:lastRenderedPageBreak/>
        <w:t>arbitral agreements and awards, including those conducted through digital means</w:t>
      </w:r>
      <w:r>
        <w:rPr>
          <w:rStyle w:val="FootnoteReference"/>
          <w:rFonts w:asciiTheme="majorBidi" w:eastAsia="Calibri" w:hAnsiTheme="majorBidi" w:cstheme="majorBidi"/>
          <w:color w:val="000000"/>
          <w:lang w:bidi="ar-AE"/>
        </w:rPr>
        <w:footnoteReference w:id="100"/>
      </w:r>
      <w:r>
        <w:rPr>
          <w:rFonts w:asciiTheme="majorBidi" w:eastAsia="Calibri" w:hAnsiTheme="majorBidi" w:cstheme="majorBidi"/>
          <w:color w:val="000000"/>
          <w:lang w:bidi="ar-AE"/>
        </w:rPr>
        <w:t>. By contrast, courts in certain civil law jurisdictions have exhibited greater caution, often insisting on strict compliance with formal procedural requirements that may be difficult to reconcile with the flexibility inherent in online arbitration</w:t>
      </w:r>
      <w:r>
        <w:rPr>
          <w:rStyle w:val="FootnoteReference"/>
          <w:rFonts w:asciiTheme="majorBidi" w:eastAsia="Calibri" w:hAnsiTheme="majorBidi" w:cstheme="majorBidi"/>
          <w:color w:val="000000"/>
          <w:lang w:bidi="ar-AE"/>
        </w:rPr>
        <w:footnoteReference w:id="101"/>
      </w:r>
      <w:r>
        <w:rPr>
          <w:rFonts w:asciiTheme="majorBidi" w:eastAsia="Calibri" w:hAnsiTheme="majorBidi" w:cstheme="majorBidi"/>
          <w:color w:val="000000"/>
          <w:lang w:bidi="ar-AE"/>
        </w:rPr>
        <w:t>. In this context, judicial acceptance of electronic arbitration agreements, recognition of digital signatures, and validation of virtual hearings emerge as critical factors. Ultimately, the extent to which national courts embrace these elements will be decisive in shaping the long-term legitimacy, consistency, and global expansion of online arbitration</w:t>
      </w:r>
      <w:r>
        <w:rPr>
          <w:rStyle w:val="FootnoteReference"/>
          <w:rFonts w:asciiTheme="majorBidi" w:eastAsia="Calibri" w:hAnsiTheme="majorBidi" w:cstheme="majorBidi"/>
          <w:color w:val="000000"/>
          <w:lang w:bidi="ar-AE"/>
        </w:rPr>
        <w:footnoteReference w:id="102"/>
      </w:r>
      <w:r>
        <w:rPr>
          <w:rFonts w:asciiTheme="majorBidi" w:eastAsia="Calibri" w:hAnsiTheme="majorBidi" w:cstheme="majorBidi"/>
          <w:color w:val="000000"/>
          <w:lang w:bidi="ar-AE"/>
        </w:rPr>
        <w:t>.</w:t>
      </w:r>
    </w:p>
    <w:p w14:paraId="3D60454C" w14:textId="77777777" w:rsidR="00F073C0" w:rsidRPr="008819FD" w:rsidRDefault="00F073C0" w:rsidP="00663759">
      <w:pPr>
        <w:numPr>
          <w:ilvl w:val="1"/>
          <w:numId w:val="6"/>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The Impact of COVID-19 on the Acceptance of Online Arbitration</w:t>
      </w:r>
    </w:p>
    <w:p w14:paraId="314F533F"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The COVID-19 pandemic served as a critical turning point in the expansion of online arbitration, compelling legal systems and arbitral institutions to rapidly adopt digital modes of dispute resolution. Widespread court closures, mobility restrictions, and public health measures rendered traditional in-person proceedings impracticable, accelerating the transition toward virtual hearings, electronic submission of evidence, and digital case management systems.</w:t>
      </w:r>
      <w:r>
        <w:rPr>
          <w:rStyle w:val="FootnoteReference"/>
          <w:rFonts w:asciiTheme="majorBidi" w:eastAsia="Calibri" w:hAnsiTheme="majorBidi" w:cstheme="majorBidi"/>
          <w:color w:val="000000"/>
          <w:lang w:bidi="ar-AE"/>
        </w:rPr>
        <w:footnoteReference w:id="103"/>
      </w:r>
      <w:r>
        <w:rPr>
          <w:rFonts w:asciiTheme="majorBidi" w:eastAsia="Calibri" w:hAnsiTheme="majorBidi" w:cstheme="majorBidi"/>
          <w:color w:val="000000"/>
          <w:lang w:bidi="ar-AE"/>
        </w:rPr>
        <w:t xml:space="preserve">. Empirical studies conducted in the post-pandemic period indicate that many arbitral proceedings have continued to incorporate digital components, reflecting a lasting shift rather than a temporary emergency response. The experience of conducting arbitration online during the pandemic demonstrated its capacity to deliver efficient, accessible, and cost-effective dispute resolution. As a result, numerous jurisdictions and arbitral institutions have revised procedural rules to formally accommodate and normalise digital arbitration practices, </w:t>
      </w:r>
      <w:r>
        <w:rPr>
          <w:rFonts w:asciiTheme="majorBidi" w:eastAsia="Calibri" w:hAnsiTheme="majorBidi" w:cstheme="majorBidi"/>
          <w:color w:val="000000"/>
          <w:lang w:bidi="ar-AE"/>
        </w:rPr>
        <w:lastRenderedPageBreak/>
        <w:t>signalling the institutionalisation of online arbitration within contemporary dispute resolution frameworks.</w:t>
      </w:r>
      <w:r>
        <w:rPr>
          <w:rStyle w:val="FootnoteReference"/>
          <w:rFonts w:asciiTheme="majorBidi" w:eastAsia="Calibri" w:hAnsiTheme="majorBidi" w:cstheme="majorBidi"/>
          <w:color w:val="000000"/>
          <w:lang w:bidi="ar-AE"/>
        </w:rPr>
        <w:footnoteReference w:id="104"/>
      </w:r>
    </w:p>
    <w:p w14:paraId="4B39722D" w14:textId="77777777" w:rsidR="00F073C0" w:rsidRPr="008819FD" w:rsidRDefault="00F073C0" w:rsidP="00663759">
      <w:pPr>
        <w:numPr>
          <w:ilvl w:val="1"/>
          <w:numId w:val="6"/>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The Future of Online Arbitration and Legal Harmonization Efforts</w:t>
      </w:r>
    </w:p>
    <w:p w14:paraId="75DDFD7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Looking forward, the broader acceptance of online arbitration will depend largely on sustained legal harmonisation, continued technological innovation, and enhanced cross-border cooperation between arbitral institutions and national authorities. Legal scholars increasingly call for the development of international guidelines or model legal instruments that explicitly address key issues such as the enforceability of digitally rendered arbitral awards, minimum cybersecurity standards, and ethical governance in the use of artificial intelligence within arbitral processes</w:t>
      </w:r>
      <w:r>
        <w:rPr>
          <w:rStyle w:val="FootnoteReference"/>
          <w:rFonts w:asciiTheme="majorBidi" w:eastAsia="Calibri" w:hAnsiTheme="majorBidi" w:cstheme="majorBidi"/>
          <w:color w:val="000000"/>
          <w:lang w:bidi="ar-AE"/>
        </w:rPr>
        <w:footnoteReference w:id="105"/>
      </w:r>
      <w:r>
        <w:rPr>
          <w:rFonts w:asciiTheme="majorBidi" w:eastAsia="Calibri" w:hAnsiTheme="majorBidi" w:cstheme="majorBidi"/>
          <w:color w:val="000000"/>
          <w:lang w:bidi="ar-AE"/>
        </w:rPr>
        <w:t>. At the institutional level, efforts are underway to design standardised online arbitration platforms capable of ensuring procedural integrity, reducing jurisdictional fragmentation, and strengthening confidence in digital dispute resolution. Although significant legal and technical challenges persist, current developments indicate a clear trajectory toward the normalisation of online arbitration, positioning digital dispute resolution as a core component of the future landscape of international commercial arbitration.</w:t>
      </w:r>
      <w:r>
        <w:rPr>
          <w:rStyle w:val="FootnoteReference"/>
          <w:rFonts w:asciiTheme="majorBidi" w:eastAsia="Calibri" w:hAnsiTheme="majorBidi" w:cstheme="majorBidi"/>
          <w:color w:val="000000"/>
          <w:lang w:bidi="ar-AE"/>
        </w:rPr>
        <w:footnoteReference w:id="106"/>
      </w:r>
      <w:r>
        <w:rPr>
          <w:rFonts w:asciiTheme="majorBidi" w:eastAsia="Calibri" w:hAnsiTheme="majorBidi" w:cstheme="majorBidi"/>
          <w:color w:val="000000"/>
          <w:lang w:bidi="ar-AE"/>
        </w:rPr>
        <w:t>.</w:t>
      </w:r>
    </w:p>
    <w:p w14:paraId="6051A54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level of acceptance of online arbitration across legal systems remains uneven. While certain jurisdictions have embraced it as a legitimate and fully recognised mechanism for dispute resolution, others continue to approach it with caution due to concerns relating to procedural fairness, due process, and the enforceability of electronically rendered awards. </w:t>
      </w:r>
      <w:r>
        <w:rPr>
          <w:rFonts w:asciiTheme="majorBidi" w:eastAsia="Calibri" w:hAnsiTheme="majorBidi" w:cstheme="majorBidi"/>
          <w:color w:val="000000"/>
          <w:lang w:bidi="ar-AE"/>
        </w:rPr>
        <w:lastRenderedPageBreak/>
        <w:t xml:space="preserve">Jurisdictions with modern and arbitration-friendly legal frameworks such as </w:t>
      </w:r>
      <w:r>
        <w:rPr>
          <w:rFonts w:asciiTheme="majorBidi" w:eastAsia="Calibri" w:hAnsiTheme="majorBidi" w:cstheme="majorBidi"/>
          <w:b/>
          <w:bCs/>
          <w:color w:val="000000"/>
          <w:lang w:bidi="ar-AE"/>
        </w:rPr>
        <w:t>Singapore</w:t>
      </w:r>
      <w:r>
        <w:rPr>
          <w:rFonts w:asciiTheme="majorBidi" w:eastAsia="Calibri" w:hAnsiTheme="majorBidi" w:cstheme="majorBidi"/>
          <w:color w:val="000000"/>
          <w:lang w:bidi="ar-AE"/>
        </w:rPr>
        <w:t xml:space="preserve"> and </w:t>
      </w:r>
      <w:r>
        <w:rPr>
          <w:rFonts w:asciiTheme="majorBidi" w:eastAsia="Calibri" w:hAnsiTheme="majorBidi" w:cstheme="majorBidi"/>
          <w:b/>
          <w:bCs/>
          <w:color w:val="000000"/>
          <w:lang w:bidi="ar-AE"/>
        </w:rPr>
        <w:t>Switzerland</w:t>
      </w:r>
      <w:r>
        <w:rPr>
          <w:rFonts w:asciiTheme="majorBidi" w:eastAsia="Calibri" w:hAnsiTheme="majorBidi" w:cstheme="majorBidi"/>
          <w:color w:val="000000"/>
          <w:lang w:bidi="ar-AE"/>
        </w:rPr>
        <w:t xml:space="preserve"> have taken the lead in integrating digital arbitration into their legal systems, supported by progressive legislation and favourable judicial practice.</w:t>
      </w:r>
    </w:p>
    <w:p w14:paraId="373DA58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By contrast, several states continue to adhere to formalistic legal requirements, including strict written-form rules and traditional procedural safeguards, which can impede the wider adoption of online arbitration. In this context, the role of international arbitral institutions, national courts, and ongoing legal harmonisation initiatives is pivotal in shaping a more consistent and predictable framework for digital arbitration.</w:t>
      </w:r>
    </w:p>
    <w:p w14:paraId="5303E9A2"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As technological innovation and legal reform continue to reshape the arbitration landscape, the global acceptance of online arbitration is expected to expand. This evolution has the potential to foster a dispute resolution environment that is more efficient, accessible, and cost-effective, thereby enhancing the effectiveness of international commercial arbitration in the digital era.</w:t>
      </w:r>
      <w:r>
        <w:rPr>
          <w:rStyle w:val="FootnoteReference"/>
          <w:rFonts w:asciiTheme="majorBidi" w:eastAsia="Calibri" w:hAnsiTheme="majorBidi" w:cstheme="majorBidi"/>
          <w:color w:val="000000"/>
          <w:lang w:bidi="ar-AE"/>
        </w:rPr>
        <w:footnoteReference w:id="107"/>
      </w:r>
      <w:r>
        <w:rPr>
          <w:rFonts w:asciiTheme="majorBidi" w:eastAsia="Calibri" w:hAnsiTheme="majorBidi" w:cstheme="majorBidi"/>
          <w:color w:val="000000"/>
          <w:lang w:bidi="ar-AE"/>
        </w:rPr>
        <w:t>.</w:t>
      </w:r>
    </w:p>
    <w:p w14:paraId="5826D187" w14:textId="77777777" w:rsidR="00F073C0" w:rsidRPr="008819FD" w:rsidRDefault="00F073C0" w:rsidP="00663759">
      <w:pPr>
        <w:pStyle w:val="Heading2"/>
        <w:rPr>
          <w:rFonts w:asciiTheme="majorBidi" w:hAnsiTheme="majorBidi" w:cstheme="majorBidi"/>
          <w:sz w:val="24"/>
          <w:szCs w:val="24"/>
          <w:lang w:bidi="ar-AE"/>
        </w:rPr>
      </w:pPr>
      <w:bookmarkStart w:id="63" w:name="_Toc190813276"/>
      <w:bookmarkStart w:id="64" w:name="_Toc209626923"/>
      <w:bookmarkStart w:id="65" w:name="_Toc217491560"/>
      <w:bookmarkStart w:id="66" w:name="_Toc221804510"/>
      <w:r>
        <w:rPr>
          <w:rFonts w:asciiTheme="majorBidi" w:hAnsiTheme="majorBidi" w:cstheme="majorBidi"/>
          <w:sz w:val="24"/>
          <w:szCs w:val="24"/>
          <w:lang w:bidi="ar-AE"/>
        </w:rPr>
        <w:t>Technical Aspects of Online Arbitration</w:t>
      </w:r>
      <w:bookmarkEnd w:id="63"/>
      <w:bookmarkEnd w:id="64"/>
      <w:bookmarkEnd w:id="65"/>
      <w:bookmarkEnd w:id="66"/>
    </w:p>
    <w:p w14:paraId="6441148A"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 xml:space="preserve">The effective operation of online arbitration is fundamentally dependent on a robust and integrated technological infrastructure capable of supporting efficiency, security, and equitable access for all participants. Recent developments in cloud-based systems, artificial intelligence–enabled platforms, blockchain applications, and secure digital communication technologies have played a central role in enhancing the feasibility and credibility of online </w:t>
      </w:r>
      <w:r>
        <w:rPr>
          <w:rFonts w:asciiTheme="majorBidi" w:hAnsiTheme="majorBidi" w:cstheme="majorBidi"/>
        </w:rPr>
        <w:lastRenderedPageBreak/>
        <w:t>arbitration as a contemporary form of alternative dispute resolution.</w:t>
      </w:r>
      <w:r>
        <w:rPr>
          <w:rStyle w:val="FootnoteReference"/>
          <w:rFonts w:asciiTheme="majorBidi" w:eastAsia="Calibri" w:hAnsiTheme="majorBidi" w:cstheme="majorBidi"/>
          <w:color w:val="000000"/>
          <w:lang w:bidi="ar-AE"/>
        </w:rPr>
        <w:footnoteReference w:id="108"/>
      </w:r>
      <w:r>
        <w:rPr>
          <w:rFonts w:asciiTheme="majorBidi" w:eastAsia="Calibri" w:hAnsiTheme="majorBidi" w:cstheme="majorBidi"/>
          <w:color w:val="000000"/>
          <w:lang w:bidi="ar-AE"/>
        </w:rPr>
        <w:t>. A comprehensive technological framework is essential to facilitate virtual hearings, enable the secure submission and exchange of evidentiary materials, and preserve procedural integrity throughout the arbitral process. Without such infrastructure, the reliability, fairness, and legal legitimacy of online arbitration proceedings could be significantly compromised</w:t>
      </w:r>
      <w:r>
        <w:rPr>
          <w:rStyle w:val="FootnoteReference"/>
          <w:rFonts w:asciiTheme="majorBidi" w:eastAsia="Calibri" w:hAnsiTheme="majorBidi" w:cstheme="majorBidi"/>
          <w:color w:val="000000"/>
          <w:lang w:bidi="ar-AE"/>
        </w:rPr>
        <w:footnoteReference w:id="109"/>
      </w:r>
      <w:r>
        <w:rPr>
          <w:rFonts w:asciiTheme="majorBidi" w:eastAsia="Calibri" w:hAnsiTheme="majorBidi" w:cstheme="majorBidi"/>
          <w:color w:val="000000"/>
          <w:lang w:bidi="ar-AE"/>
        </w:rPr>
        <w:t>.</w:t>
      </w:r>
    </w:p>
    <w:p w14:paraId="2FBDCC93" w14:textId="77777777" w:rsidR="00F073C0" w:rsidRPr="008819FD" w:rsidRDefault="00F073C0" w:rsidP="00663759">
      <w:pPr>
        <w:numPr>
          <w:ilvl w:val="0"/>
          <w:numId w:val="9"/>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The Role of Cloud-Based Arbitration Platforms</w:t>
      </w:r>
    </w:p>
    <w:p w14:paraId="1F5DE01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Cloud computing constitutes a core component of the technological architecture underpinning online arbitration. It enables the secure storage of case materials, supports real-time communication among participants, and ensures continuous and remote access to arbitral documents. Through cloud-based environments, arbitration proceedings can be managed efficiently without reliance on physical infrastructure. Many arbitral institutions now operate dedicated digital platforms that integrate case management functions such as electronic filing, automated scheduling, and remote submission of evidence. These systems allow arbitrators, legal counsel, and parties to securely upload and retrieve documents, track procedural developments, and engage in virtual hearings in real time, thereby overcoming geographical limitations and enhancing procedural efficiency</w:t>
      </w:r>
      <w:r>
        <w:rPr>
          <w:rStyle w:val="FootnoteReference"/>
          <w:rFonts w:asciiTheme="majorBidi" w:eastAsia="Calibri" w:hAnsiTheme="majorBidi" w:cstheme="majorBidi"/>
          <w:color w:val="000000"/>
          <w:lang w:bidi="ar-AE"/>
        </w:rPr>
        <w:footnoteReference w:id="110"/>
      </w:r>
      <w:r>
        <w:rPr>
          <w:rFonts w:asciiTheme="majorBidi" w:eastAsia="Calibri" w:hAnsiTheme="majorBidi" w:cstheme="majorBidi"/>
          <w:color w:val="000000"/>
          <w:lang w:bidi="ar-AE"/>
        </w:rPr>
        <w:t>.</w:t>
      </w:r>
    </w:p>
    <w:p w14:paraId="6F6AD780" w14:textId="77777777" w:rsidR="00F073C0" w:rsidRPr="008819FD" w:rsidRDefault="00F073C0" w:rsidP="00663759">
      <w:pPr>
        <w:numPr>
          <w:ilvl w:val="0"/>
          <w:numId w:val="9"/>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The Importance of High-Speed Virtual and Bandwidth Stability</w:t>
      </w:r>
    </w:p>
    <w:p w14:paraId="70DA4115"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lastRenderedPageBreak/>
        <w:t>Reliable high-speed virtual connectivity is a fundamental prerequisite for the effective conduct of online arbitration. The success of virtual hearings depends on stable video and audio transmission, real-time interaction between participants, and the seamless presentation of evidentiary materials. Insufficient bandwidth or unstable connections can result in delays, miscommunication, and procedural interruptions, potentially undermining the fairness and efficiency of the arbitral process.</w:t>
      </w:r>
    </w:p>
    <w:p w14:paraId="7FFFBEEE" w14:textId="77777777" w:rsidR="00C239D7" w:rsidRPr="008819FD" w:rsidRDefault="00F073C0" w:rsidP="00663759">
      <w:pPr>
        <w:pStyle w:val="NormalWeb"/>
        <w:spacing w:line="480" w:lineRule="auto"/>
        <w:ind w:firstLine="720"/>
        <w:rPr>
          <w:rFonts w:asciiTheme="majorBidi" w:eastAsia="Calibri" w:hAnsiTheme="majorBidi" w:cstheme="majorBidi"/>
          <w:color w:val="000000"/>
          <w:lang w:bidi="ar-AE"/>
        </w:rPr>
      </w:pPr>
      <w:r>
        <w:rPr>
          <w:rFonts w:asciiTheme="majorBidi" w:hAnsiTheme="majorBidi" w:cstheme="majorBidi"/>
        </w:rPr>
        <w:t>To address these challenges, arbitral institutions increasingly invest in advanced technological solutions, including adaptive streaming systems, latency-optimisation software, and redundant communication channels. These measures are designed to enhance system resilience, reduce the risk of disruption, and ensure continuity of proceedings even in the event of connectivity fluctuations</w:t>
      </w:r>
      <w:r>
        <w:rPr>
          <w:rFonts w:asciiTheme="majorBidi" w:eastAsia="Calibri" w:hAnsiTheme="majorBidi" w:cstheme="majorBidi"/>
          <w:color w:val="000000"/>
          <w:lang w:bidi="ar-AE"/>
        </w:rPr>
        <w:t>.</w:t>
      </w:r>
      <w:r>
        <w:rPr>
          <w:rStyle w:val="FootnoteReference"/>
          <w:rFonts w:asciiTheme="majorBidi" w:eastAsia="Calibri" w:hAnsiTheme="majorBidi" w:cstheme="majorBidi"/>
          <w:color w:val="000000"/>
          <w:lang w:bidi="ar-AE"/>
        </w:rPr>
        <w:footnoteReference w:id="111"/>
      </w:r>
      <w:r>
        <w:rPr>
          <w:rFonts w:asciiTheme="majorBidi" w:eastAsia="Calibri" w:hAnsiTheme="majorBidi" w:cstheme="majorBidi"/>
          <w:color w:val="000000"/>
          <w:lang w:bidi="ar-AE"/>
        </w:rPr>
        <w:t>.</w:t>
      </w:r>
    </w:p>
    <w:p w14:paraId="114CBDDB" w14:textId="77777777" w:rsidR="00F073C0" w:rsidRPr="008819FD" w:rsidRDefault="00F073C0" w:rsidP="00663759">
      <w:pPr>
        <w:numPr>
          <w:ilvl w:val="0"/>
          <w:numId w:val="9"/>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AI-Powered Tools for Online Arbitration</w:t>
      </w:r>
    </w:p>
    <w:p w14:paraId="481C24B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Artificial intelligence has introduced a suite of advanced tools that contribute to greater efficiency and analytical depth within arbitral proceedings. AI-enabled legal research systems, automated case analysis applications, and predictive analytics tools support arbitrators in assessing evidentiary materials and identifying relevant legal patterns. By rapidly processing large volumes of complex documentation and extracting pertinent precedents, these technologies significantly reduce the time and effort required for substantive legal analysis, thereby facilitating more informed and timely decision-making within the arbitration process.</w:t>
      </w:r>
      <w:r>
        <w:rPr>
          <w:rStyle w:val="FootnoteReference"/>
          <w:rFonts w:asciiTheme="majorBidi" w:eastAsia="Calibri" w:hAnsiTheme="majorBidi" w:cstheme="majorBidi"/>
          <w:color w:val="000000"/>
          <w:lang w:bidi="ar-AE"/>
        </w:rPr>
        <w:footnoteReference w:id="112"/>
      </w:r>
      <w:r>
        <w:rPr>
          <w:rFonts w:asciiTheme="majorBidi" w:eastAsia="Calibri" w:hAnsiTheme="majorBidi" w:cstheme="majorBidi"/>
          <w:color w:val="000000"/>
          <w:lang w:bidi="ar-AE"/>
        </w:rPr>
        <w:t>.</w:t>
      </w:r>
    </w:p>
    <w:p w14:paraId="7ABA70F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p>
    <w:p w14:paraId="5D8D0C7F" w14:textId="77777777" w:rsidR="00F073C0" w:rsidRPr="008819FD" w:rsidRDefault="00F073C0" w:rsidP="00663759">
      <w:pPr>
        <w:numPr>
          <w:ilvl w:val="0"/>
          <w:numId w:val="9"/>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Cybersecurity Frameworks for Protecting Digital Arbitration Proceedings</w:t>
      </w:r>
    </w:p>
    <w:p w14:paraId="072550B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Given that online arbitration entails the transmission and storage of highly sensitive legal and commercial information, the implementation of strong cybersecurity safeguards is essential to protect against unauthorised access and data breaches. Contemporary online arbitration platforms increasingly rely on advanced security mechanisms such as end-to-end encryption, multi-factor authentication, and blockchain-based systems for securing evidentiary materials.</w:t>
      </w:r>
      <w:r>
        <w:rPr>
          <w:rStyle w:val="FootnoteReference"/>
          <w:rFonts w:asciiTheme="majorBidi" w:eastAsia="Calibri" w:hAnsiTheme="majorBidi" w:cstheme="majorBidi"/>
          <w:color w:val="000000"/>
          <w:lang w:bidi="ar-AE"/>
        </w:rPr>
        <w:footnoteReference w:id="113"/>
      </w:r>
      <w:r>
        <w:rPr>
          <w:rFonts w:asciiTheme="majorBidi" w:eastAsia="Calibri" w:hAnsiTheme="majorBidi" w:cstheme="majorBidi"/>
          <w:color w:val="000000"/>
          <w:lang w:bidi="ar-AE"/>
        </w:rPr>
        <w:t>. In addition, regular cybersecurity risk assessments and systematic technical audits are employed to detect potential vulnerabilities and reinforce data protection frameworks. These preventative measures play a critical role in maintaining the confidentiality, integrity, and reliability of online arbitration proceeding.</w:t>
      </w:r>
      <w:r>
        <w:rPr>
          <w:rStyle w:val="FootnoteReference"/>
          <w:rFonts w:asciiTheme="majorBidi" w:eastAsia="Calibri" w:hAnsiTheme="majorBidi" w:cstheme="majorBidi"/>
          <w:color w:val="000000"/>
          <w:lang w:bidi="ar-AE"/>
        </w:rPr>
        <w:footnoteReference w:id="114"/>
      </w:r>
      <w:r>
        <w:rPr>
          <w:rFonts w:asciiTheme="majorBidi" w:eastAsia="Calibri" w:hAnsiTheme="majorBidi" w:cstheme="majorBidi"/>
          <w:color w:val="000000"/>
          <w:lang w:bidi="ar-AE"/>
        </w:rPr>
        <w:t>.</w:t>
      </w:r>
    </w:p>
    <w:p w14:paraId="3D96112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Although the deployment of advanced cybersecurity technologies has become increasingly common in online arbitration practice, a critical issue—particularly relevant to the scope of this study—concerns the adequacy of the legal framework in the United Arab Emirates in mandating and regulating their use. The UAE has introduced general data protection legislation, most notably Federal Decree-Law No. 45 of 2021 on the Protection of Personal Data, which establishes a statutory basis for the protection of personal and commercially sensitive information in digital environments. However, this legislation does not </w:t>
      </w:r>
      <w:r>
        <w:rPr>
          <w:rFonts w:asciiTheme="majorBidi" w:eastAsia="Calibri" w:hAnsiTheme="majorBidi" w:cstheme="majorBidi"/>
          <w:color w:val="000000"/>
          <w:lang w:bidi="ar-AE"/>
        </w:rPr>
        <w:lastRenderedPageBreak/>
        <w:t>specifically prescribe the technical or cybersecurity standards applicable to arbitral proceedings conducted through electronic means.</w:t>
      </w:r>
    </w:p>
    <w:p w14:paraId="411D30D4" w14:textId="3691A59E" w:rsidR="00F073C0" w:rsidRPr="008819FD" w:rsidRDefault="00F073C0" w:rsidP="00157A6B">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Consequently, the regulation of cybersecurity in the arbitral context relies predominantly on non-binding or “soft law” instruments. These include international best-practice frameworks such as the International Council for Commercial Arbitration–New York City Bar–CPR Cybersecurity Protocol for International Arbitration (2020), as well as institutional guidance issued by regional arbitral bodies, including the Dubai International Arbitration Centre  and the </w:t>
      </w:r>
      <w:r w:rsidR="00157A6B">
        <w:rPr>
          <w:rFonts w:asciiTheme="majorBidi" w:eastAsia="Calibri" w:hAnsiTheme="majorBidi" w:cstheme="majorBidi"/>
          <w:color w:val="000000"/>
          <w:lang w:bidi="ar-AE"/>
        </w:rPr>
        <w:t>ADGM Dispute Resolution Hearing Centre.</w:t>
      </w:r>
      <w:r>
        <w:rPr>
          <w:rFonts w:asciiTheme="majorBidi" w:eastAsia="Calibri" w:hAnsiTheme="majorBidi" w:cstheme="majorBidi"/>
          <w:color w:val="000000"/>
          <w:lang w:bidi="ar-AE"/>
        </w:rPr>
        <w:t>.  While these instruments provide valuable practical guidance, their non-mandatory nature raises questions regarding consistency, enforceability, and the sufficiency of cybersecurity protection in online arbitration proceedings within the UAE legal framework.</w:t>
      </w:r>
    </w:p>
    <w:p w14:paraId="17E7142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These instruments are inherently non-binding, operating primarily as guidance frameworks rather than enforceable legal obligations. The absence of explicit statutory rules governing the mandatory use of encryption technologies, authentication protocols, or blockchain-based data storage within arbitral proceedings places considerable reliance on party autonomy and institutional discretion. While such flexibility may accommodate diverse arbitral contexts, it simultaneously generates legal ambiguity, particularly with respect to responsibility and liability in the event of a cybersecurity incident.</w:t>
      </w:r>
    </w:p>
    <w:p w14:paraId="16FDD00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Comparative regulatory experience illustrates an alternative approach. Within the </w:t>
      </w:r>
      <w:r>
        <w:rPr>
          <w:rFonts w:asciiTheme="majorBidi" w:eastAsia="Calibri" w:hAnsiTheme="majorBidi" w:cstheme="majorBidi"/>
          <w:b/>
          <w:bCs/>
          <w:color w:val="000000"/>
          <w:lang w:bidi="ar-AE"/>
        </w:rPr>
        <w:t>European Union</w:t>
      </w:r>
      <w:r>
        <w:rPr>
          <w:rFonts w:asciiTheme="majorBidi" w:eastAsia="Calibri" w:hAnsiTheme="majorBidi" w:cstheme="majorBidi"/>
          <w:color w:val="000000"/>
          <w:lang w:bidi="ar-AE"/>
        </w:rPr>
        <w:t xml:space="preserve">, binding data protection legislation has imposed indirect but significant constraints on arbitration practice by requiring data controllers and processors to implement </w:t>
      </w:r>
      <w:r>
        <w:rPr>
          <w:rFonts w:asciiTheme="majorBidi" w:eastAsia="Calibri" w:hAnsiTheme="majorBidi" w:cstheme="majorBidi"/>
          <w:color w:val="000000"/>
          <w:lang w:bidi="ar-AE"/>
        </w:rPr>
        <w:lastRenderedPageBreak/>
        <w:t>defined technical and organisational safeguards. These obligations have, in effect, shaped how arbitral institutions and practitioners manage digital data and cybersecurity risks.</w:t>
      </w:r>
      <w:r>
        <w:rPr>
          <w:rStyle w:val="FootnoteReference"/>
          <w:rFonts w:asciiTheme="majorBidi" w:eastAsia="Calibri" w:hAnsiTheme="majorBidi" w:cstheme="majorBidi"/>
          <w:color w:val="000000"/>
          <w:lang w:bidi="ar-AE"/>
        </w:rPr>
        <w:footnoteReference w:id="115"/>
      </w:r>
      <w:r>
        <w:rPr>
          <w:rFonts w:asciiTheme="majorBidi" w:eastAsia="Calibri" w:hAnsiTheme="majorBidi" w:cstheme="majorBidi"/>
          <w:color w:val="000000"/>
          <w:lang w:bidi="ar-AE"/>
        </w:rPr>
        <w:t xml:space="preserve">. </w:t>
      </w:r>
    </w:p>
    <w:p w14:paraId="2223441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contrast, the regulatory landscape in the UAE remains relatively fragmented, characterised by a reliance on general data protection statutes and a collection of institutional soft-law guidelines rather than a unified, arbitration-specific cybersecurity regime. This regulatory gap raises an important policy consideration: whether the UAE should move towards the adoption of binding legal rules that establish minimum cybersecurity standards for arbitral proceedings. Such an approach could enhance legal certainty, clarify liability allocation, and strengthen confidence in online arbitration as a secure and reliable mechanism for dispute resolution. </w:t>
      </w:r>
      <w:r>
        <w:rPr>
          <w:rStyle w:val="FootnoteReference"/>
          <w:rFonts w:asciiTheme="majorBidi" w:eastAsia="Calibri" w:hAnsiTheme="majorBidi" w:cstheme="majorBidi"/>
          <w:color w:val="000000"/>
          <w:lang w:bidi="ar-AE"/>
        </w:rPr>
        <w:footnoteReference w:id="116"/>
      </w:r>
      <w:r>
        <w:rPr>
          <w:rFonts w:asciiTheme="majorBidi" w:eastAsia="Calibri" w:hAnsiTheme="majorBidi" w:cstheme="majorBidi"/>
          <w:color w:val="000000"/>
          <w:lang w:bidi="ar-AE"/>
        </w:rPr>
        <w:t xml:space="preserve">. </w:t>
      </w:r>
    </w:p>
    <w:p w14:paraId="3DF6DC46" w14:textId="77777777" w:rsidR="00F073C0" w:rsidRPr="008819FD" w:rsidRDefault="00F073C0" w:rsidP="00663759">
      <w:pPr>
        <w:numPr>
          <w:ilvl w:val="0"/>
          <w:numId w:val="9"/>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Digital Courtroom Technology and Virtual Hearings</w:t>
      </w:r>
    </w:p>
    <w:p w14:paraId="426D47B1"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Virtual hearings have fundamentally transformed the conduct of online arbitration by enabling parties, arbitrators, and legal representatives to participate in proceedings simultaneously from different geographical locations. Advances in high-definition videoconferencing, AI-assisted speech-to-text transcription, and real-time multilingual translation have significantly enhanced the efficiency and inclusiveness of arbitral hearings, removing the necessity for physical attendance.</w:t>
      </w:r>
    </w:p>
    <w:p w14:paraId="7564181B" w14:textId="77777777" w:rsidR="00F073C0" w:rsidRPr="008819FD" w:rsidRDefault="00F073C0" w:rsidP="00663759">
      <w:pPr>
        <w:pStyle w:val="NormalWeb"/>
        <w:spacing w:line="480" w:lineRule="auto"/>
        <w:ind w:firstLine="720"/>
        <w:rPr>
          <w:rFonts w:asciiTheme="majorBidi" w:eastAsia="Calibri" w:hAnsiTheme="majorBidi" w:cstheme="majorBidi"/>
          <w:color w:val="000000"/>
          <w:lang w:bidi="ar-AE"/>
        </w:rPr>
      </w:pPr>
      <w:r>
        <w:rPr>
          <w:rFonts w:asciiTheme="majorBidi" w:hAnsiTheme="majorBidi" w:cstheme="majorBidi"/>
        </w:rPr>
        <w:t xml:space="preserve">In parallel, courts and arbitral institutions have adopted digital evidence management and presentation tools that allow parties to submit, display, and annotate documentary </w:t>
      </w:r>
      <w:r>
        <w:rPr>
          <w:rFonts w:asciiTheme="majorBidi" w:hAnsiTheme="majorBidi" w:cstheme="majorBidi"/>
        </w:rPr>
        <w:lastRenderedPageBreak/>
        <w:t>materials in real time during hearings. These technologies support procedural continuity, improve evidentiary clarity, and contribute to a more streamlined and interactive arbitration process within a fully digital environment</w:t>
      </w:r>
      <w:r>
        <w:rPr>
          <w:rStyle w:val="FootnoteReference"/>
          <w:rFonts w:asciiTheme="majorBidi" w:eastAsia="Calibri" w:hAnsiTheme="majorBidi" w:cstheme="majorBidi"/>
          <w:color w:val="000000"/>
          <w:lang w:bidi="ar-AE"/>
        </w:rPr>
        <w:footnoteReference w:id="117"/>
      </w:r>
      <w:r>
        <w:rPr>
          <w:rFonts w:asciiTheme="majorBidi" w:eastAsia="Calibri" w:hAnsiTheme="majorBidi" w:cstheme="majorBidi"/>
          <w:color w:val="000000"/>
          <w:lang w:bidi="ar-AE"/>
        </w:rPr>
        <w:t>.</w:t>
      </w:r>
    </w:p>
    <w:p w14:paraId="1BFDB69A" w14:textId="77777777" w:rsidR="00F073C0" w:rsidRPr="008819FD" w:rsidRDefault="00F073C0" w:rsidP="00663759">
      <w:pPr>
        <w:numPr>
          <w:ilvl w:val="0"/>
          <w:numId w:val="9"/>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Legal and Regulatory Considerations for Online Arbitration Technology</w:t>
      </w:r>
    </w:p>
    <w:p w14:paraId="6F52EFE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While technology has enabled the expansion of online arbitration, regulatory frameworks vary across jurisdictions regarding the use of electronic signatures, AI-assisted decision-making, and blockchain-based contracts</w:t>
      </w:r>
      <w:r>
        <w:rPr>
          <w:rStyle w:val="FootnoteReference"/>
          <w:rFonts w:asciiTheme="majorBidi" w:eastAsia="Calibri" w:hAnsiTheme="majorBidi" w:cstheme="majorBidi"/>
          <w:color w:val="000000"/>
          <w:lang w:bidi="ar-AE"/>
        </w:rPr>
        <w:footnoteReference w:id="118"/>
      </w:r>
      <w:r>
        <w:rPr>
          <w:rFonts w:asciiTheme="majorBidi" w:eastAsia="Calibri" w:hAnsiTheme="majorBidi" w:cstheme="majorBidi"/>
          <w:color w:val="000000"/>
          <w:lang w:bidi="ar-AE"/>
        </w:rPr>
        <w:t>. Some countries require physical signatures for arbitration agreements, making it difficult to fully implement digital arbitration solutions. Consequently, arbitration institutions are advocating for harmonised international guidelines that recognize the validity of digital arbitration technologies</w:t>
      </w:r>
      <w:r>
        <w:rPr>
          <w:rStyle w:val="FootnoteReference"/>
          <w:rFonts w:asciiTheme="majorBidi" w:eastAsia="Calibri" w:hAnsiTheme="majorBidi" w:cstheme="majorBidi"/>
          <w:color w:val="000000"/>
          <w:lang w:bidi="ar-AE"/>
        </w:rPr>
        <w:footnoteReference w:id="119"/>
      </w:r>
      <w:r>
        <w:rPr>
          <w:rFonts w:asciiTheme="majorBidi" w:eastAsia="Calibri" w:hAnsiTheme="majorBidi" w:cstheme="majorBidi"/>
          <w:color w:val="000000"/>
          <w:lang w:bidi="ar-AE"/>
        </w:rPr>
        <w:t>.</w:t>
      </w:r>
    </w:p>
    <w:p w14:paraId="5BCA9FC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call for harmonised international guidelines on digital arbitration technologies has, to some extent, already been answered by several prominent initiatives. For instance, the ICCA–NYC Bar–CPR Cybersecurity Protocol for International Arbitration (2020) and the Seoul Protocol on Video Conferencing in International Arbitration (2020) provide widely cited “soft law” instruments that set out practical standards for the secure use of digital platforms in arbitration. These protocols, while non-binding, have been endorsed by leading arbitral institutions and frequently incorporated into procedural orders by arbitral tribunals, thereby strengthening their persuasive authority. However, they remain voluntary and rely on </w:t>
      </w:r>
      <w:r>
        <w:rPr>
          <w:rFonts w:asciiTheme="majorBidi" w:eastAsia="Calibri" w:hAnsiTheme="majorBidi" w:cstheme="majorBidi"/>
          <w:color w:val="000000"/>
          <w:lang w:bidi="ar-AE"/>
        </w:rPr>
        <w:lastRenderedPageBreak/>
        <w:t xml:space="preserve">party agreement or tribunal discretion for implementation. In contrast, binding “hard law” recognition of digital arbitration technologies is still fragmented across jurisdictions. The UAE, for example, has modernized its arbitration framework through Federal Law No. 6 of 2018 on Arbitration, which permits electronic submissions and hearings, but it falls short of mandating specific technological standards. Similarly, while the UNCITRAL Model Law on International Commercial Arbitration (as revised in 2006) is technologically neutral, it does not explicitly regulate cybersecurity or the storage of digital evidence. The absence of uniform, mandatory provisions means that the legal validity of digital arbitration technologies continues to depend mainly on institutional rules, arbitral practice, and the willingness of national courts to recognize such innovations. As a result, although the momentum toward harmonised international guidelines is evident, the regulatory landscape remains dominated by “soft law” initiatives rather than universally binding rules. </w:t>
      </w:r>
      <w:r>
        <w:rPr>
          <w:rStyle w:val="FootnoteReference"/>
          <w:rFonts w:asciiTheme="majorBidi" w:eastAsia="Calibri" w:hAnsiTheme="majorBidi" w:cstheme="majorBidi"/>
          <w:color w:val="000000"/>
          <w:lang w:bidi="ar-AE"/>
        </w:rPr>
        <w:footnoteReference w:id="120"/>
      </w:r>
      <w:r>
        <w:rPr>
          <w:rFonts w:asciiTheme="majorBidi" w:eastAsia="Calibri" w:hAnsiTheme="majorBidi" w:cstheme="majorBidi"/>
          <w:color w:val="000000"/>
          <w:lang w:bidi="ar-AE"/>
        </w:rPr>
        <w:t>This highlights the need for greater alignment between international best practices and national legislation to ensure consistency, certainty, and confidence in the application of digital arbitration technologies.</w:t>
      </w:r>
    </w:p>
    <w:p w14:paraId="07615384" w14:textId="77777777" w:rsidR="00F073C0" w:rsidRPr="008819FD" w:rsidRDefault="00F073C0" w:rsidP="00663759">
      <w:pPr>
        <w:numPr>
          <w:ilvl w:val="0"/>
          <w:numId w:val="9"/>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Future Trends in Online Arbitration Infrastructure</w:t>
      </w:r>
    </w:p>
    <w:p w14:paraId="3BCDB2D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future of online arbitration is expected to be shaped by further advancements in AI, cloud computing, and quantum encryption. Innovations such as AI-assisted arbitrators, real-time dispute prediction models, and decentralized arbitration platforms are likely to redefine the landscape of dispute resolution</w:t>
      </w:r>
      <w:r>
        <w:rPr>
          <w:rStyle w:val="FootnoteReference"/>
          <w:rFonts w:asciiTheme="majorBidi" w:eastAsia="Calibri" w:hAnsiTheme="majorBidi" w:cstheme="majorBidi"/>
          <w:color w:val="000000"/>
          <w:lang w:bidi="ar-AE"/>
        </w:rPr>
        <w:footnoteReference w:id="121"/>
      </w:r>
      <w:r>
        <w:rPr>
          <w:rFonts w:asciiTheme="majorBidi" w:eastAsia="Calibri" w:hAnsiTheme="majorBidi" w:cstheme="majorBidi"/>
          <w:color w:val="000000"/>
          <w:lang w:bidi="ar-AE"/>
        </w:rPr>
        <w:t xml:space="preserve">. As more arbitration institutions adopt digitally </w:t>
      </w:r>
      <w:r>
        <w:rPr>
          <w:rFonts w:asciiTheme="majorBidi" w:eastAsia="Calibri" w:hAnsiTheme="majorBidi" w:cstheme="majorBidi"/>
          <w:color w:val="000000"/>
          <w:lang w:bidi="ar-AE"/>
        </w:rPr>
        <w:lastRenderedPageBreak/>
        <w:t>integrated arbitration frameworks, online dispute resolution will become more secure, cost-effective, and widely accepted in both domestic and international settings.</w:t>
      </w:r>
      <w:r>
        <w:rPr>
          <w:rStyle w:val="FootnoteReference"/>
          <w:rFonts w:asciiTheme="majorBidi" w:eastAsia="Calibri" w:hAnsiTheme="majorBidi" w:cstheme="majorBidi"/>
          <w:color w:val="000000"/>
          <w:lang w:bidi="ar-AE"/>
        </w:rPr>
        <w:footnoteReference w:id="122"/>
      </w:r>
      <w:r>
        <w:rPr>
          <w:rFonts w:asciiTheme="majorBidi" w:eastAsia="Calibri" w:hAnsiTheme="majorBidi" w:cstheme="majorBidi"/>
          <w:color w:val="000000"/>
          <w:lang w:bidi="ar-AE"/>
        </w:rPr>
        <w:t>.</w:t>
      </w:r>
    </w:p>
    <w:p w14:paraId="5D52AB4F" w14:textId="77777777" w:rsidR="00F073C0" w:rsidRPr="008819FD" w:rsidRDefault="00F073C0" w:rsidP="00663759">
      <w:pPr>
        <w:pStyle w:val="Heading2"/>
        <w:rPr>
          <w:rFonts w:asciiTheme="majorBidi" w:hAnsiTheme="majorBidi" w:cstheme="majorBidi"/>
          <w:sz w:val="24"/>
          <w:szCs w:val="24"/>
          <w:lang w:bidi="ar-AE"/>
        </w:rPr>
      </w:pPr>
      <w:bookmarkStart w:id="69" w:name="_Toc190813280"/>
      <w:bookmarkStart w:id="70" w:name="_Toc209626924"/>
      <w:bookmarkStart w:id="71" w:name="_Toc217491561"/>
      <w:bookmarkStart w:id="72" w:name="_Toc221804511"/>
      <w:r>
        <w:rPr>
          <w:rFonts w:asciiTheme="majorBidi" w:hAnsiTheme="majorBidi" w:cstheme="majorBidi"/>
          <w:sz w:val="24"/>
          <w:szCs w:val="24"/>
          <w:lang w:bidi="ar-AE"/>
        </w:rPr>
        <w:t xml:space="preserve">The Importance of Confidentiality in Arbitration in Comparative </w:t>
      </w:r>
      <w:bookmarkEnd w:id="69"/>
      <w:r>
        <w:rPr>
          <w:rFonts w:asciiTheme="majorBidi" w:hAnsiTheme="majorBidi" w:cstheme="majorBidi"/>
          <w:sz w:val="24"/>
          <w:szCs w:val="24"/>
          <w:lang w:bidi="ar-AE"/>
        </w:rPr>
        <w:t>Legislation</w:t>
      </w:r>
      <w:bookmarkEnd w:id="70"/>
      <w:bookmarkEnd w:id="71"/>
      <w:bookmarkEnd w:id="72"/>
    </w:p>
    <w:p w14:paraId="4782E14C"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International commercial arbitration has emerged as a central mechanism for resolving disputes arising from cross-border commercial transactions. In the context of an increasingly globalised economy, multinational enterprises frequently favour arbitration over domestic court litigation, viewing it as a more effective and commercially responsive form of dispute resolution.</w:t>
      </w:r>
    </w:p>
    <w:p w14:paraId="0309F429"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Arbitration offers a range of advantages that enhance its suitability for international commerce. These include procedural flexibility, expedited resolution of disputes, reduced costs when compared to prolonged litigation, and the neutrality of the forum, which is particularly important where parties operate under different legal systems. In addition, arbitration allows parties to avoid the public exposure often associated with court proceedings, thereby preserving commercial confidentiality and reputational interests. Its relatively streamlined procedures also require limited administrative oversight and reduced involvement of extensive managerial or institutional resources, further reinforcing its appeal in complex international commercial contexts.</w:t>
      </w:r>
      <w:r>
        <w:rPr>
          <w:rStyle w:val="FootnoteReference"/>
          <w:rFonts w:asciiTheme="majorBidi" w:eastAsia="Calibri" w:hAnsiTheme="majorBidi" w:cstheme="majorBidi"/>
          <w:color w:val="000000"/>
          <w:lang w:bidi="ar-AE"/>
        </w:rPr>
        <w:footnoteReference w:id="123"/>
      </w:r>
      <w:r>
        <w:rPr>
          <w:rFonts w:asciiTheme="majorBidi" w:eastAsia="Calibri" w:hAnsiTheme="majorBidi" w:cstheme="majorBidi"/>
          <w:color w:val="000000"/>
          <w:lang w:bidi="ar-AE"/>
        </w:rPr>
        <w:t>.</w:t>
      </w:r>
    </w:p>
    <w:p w14:paraId="2FE86A5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most prominent of these instruments is the New York Convention on the Recognition and Enforcement of Foreign Arbitral Awards, adopted at a United Nations </w:t>
      </w:r>
      <w:r>
        <w:rPr>
          <w:rFonts w:asciiTheme="majorBidi" w:eastAsia="Calibri" w:hAnsiTheme="majorBidi" w:cstheme="majorBidi"/>
          <w:color w:val="000000"/>
          <w:lang w:bidi="ar-AE"/>
        </w:rPr>
        <w:lastRenderedPageBreak/>
        <w:t>diplomatic conference on 10 June 1958 and entering into force on 7 June 1959. The Convention establishes a uniform legal framework obligating signatory states to recognise and enforce foreign arbitral awards, subject to limited exceptions. Its widespread adoption has significantly strengthened legal certainty in international commercial arbitration and has been instrumental in promoting arbitration as a preferred mechanism for resolving cross-border commercial disputes.</w:t>
      </w:r>
      <w:r>
        <w:rPr>
          <w:rFonts w:asciiTheme="majorBidi" w:eastAsia="Calibri" w:hAnsiTheme="majorBidi" w:cstheme="majorBidi"/>
        </w:rPr>
        <w:t xml:space="preserve"> </w:t>
      </w:r>
      <w:r>
        <w:rPr>
          <w:rStyle w:val="FootnoteReference"/>
          <w:rFonts w:asciiTheme="majorBidi" w:eastAsia="Calibri" w:hAnsiTheme="majorBidi" w:cstheme="majorBidi"/>
          <w:color w:val="000000"/>
          <w:lang w:bidi="ar-AE"/>
        </w:rPr>
        <w:footnoteReference w:id="124"/>
      </w:r>
    </w:p>
    <w:p w14:paraId="0243595C"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Beyond the advantages already discussed, international commercial arbitration possesses additional characteristics that have reinforced its widespread adoption in the resolution of cross-border commercial disputes. Among these attributes, confidentiality is frequently identified by legal scholars as one of the most significant. The private nature of arbitral proceedings allows parties to resolve disputes without public disclosure, thereby protecting sensitive commercial information and preserving business reputations. This assurance of confidentiality is widely regarded as a decisive factor influencing business actors to favour arbitration over court litigation when managing international commercial disputes </w:t>
      </w:r>
      <w:r>
        <w:rPr>
          <w:rStyle w:val="FootnoteReference"/>
          <w:rFonts w:asciiTheme="majorBidi" w:eastAsia="Calibri" w:hAnsiTheme="majorBidi" w:cstheme="majorBidi"/>
          <w:color w:val="000000"/>
          <w:lang w:bidi="ar-AE"/>
        </w:rPr>
        <w:footnoteReference w:id="125"/>
      </w:r>
      <w:r>
        <w:rPr>
          <w:rFonts w:asciiTheme="majorBidi" w:eastAsia="Calibri" w:hAnsiTheme="majorBidi" w:cstheme="majorBidi"/>
          <w:color w:val="000000"/>
          <w:lang w:bidi="ar-AE"/>
        </w:rPr>
        <w:t>.</w:t>
      </w:r>
    </w:p>
    <w:p w14:paraId="6CC7BDD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Security considerations are fundamental in the design of effective dispute resolution mechanisms, particularly in ensuring the confidentiality of arbitral proceedings and the proper observance of confidentiality obligations. A high level of confidentiality provides multiple advantages, including allowing parties to explore settlement options discreetly and without exposure to public or media scrutiny.</w:t>
      </w:r>
    </w:p>
    <w:p w14:paraId="45C9D8E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Moreover, the private and secure nature of arbitration supports the preservation of ongoing commercial relationships by creating an environment in which disputes can be addressed constructively and with minimal reputational risk. This aspect of confidentiality enhances the prospects of maintaining long-term business cooperation between the parties, thereby reinforcing arbitration’s appeal as a preferred forum for resolving international commercial disputes.</w:t>
      </w:r>
      <w:r>
        <w:rPr>
          <w:rStyle w:val="FootnoteReference"/>
          <w:rFonts w:asciiTheme="majorBidi" w:eastAsia="Calibri" w:hAnsiTheme="majorBidi" w:cstheme="majorBidi"/>
          <w:color w:val="000000"/>
          <w:lang w:bidi="ar-AE"/>
        </w:rPr>
        <w:footnoteReference w:id="126"/>
      </w:r>
      <w:r>
        <w:rPr>
          <w:rFonts w:asciiTheme="majorBidi" w:eastAsia="Calibri" w:hAnsiTheme="majorBidi" w:cstheme="majorBidi"/>
          <w:color w:val="000000"/>
          <w:lang w:bidi="ar-AE"/>
        </w:rPr>
        <w:t>.</w:t>
      </w:r>
    </w:p>
    <w:p w14:paraId="6B9264D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Arbitration has become intrinsically linked to the principle of confidentiality, both in relation to the conduct of proceedings and the arbitral awards that result from them. Indeed, the private character of arbitration has led to a general presumption that arbitral processes are confidential by default. In this respect, English courts have adopted a particularly robust approach, affording extensive protection to the confidentiality of international arbitration even in the absence of an express contractual clause addressing confidentiality in specific contractual relationships.</w:t>
      </w:r>
    </w:p>
    <w:p w14:paraId="6A3366EB"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Confidentiality may therefore arise not only from explicit agreement between the parties, but also from the inherent nature of arbitration itself and its conduct within a private adjudicative forum. As a consequence, the obligation of confidentiality is often treated as an implied feature of the arbitral process, reflecting both judicial recognition and the fundamental distinction between arbitration and public court proceedings.</w:t>
      </w:r>
      <w:r>
        <w:rPr>
          <w:rStyle w:val="FootnoteReference"/>
          <w:rFonts w:asciiTheme="majorBidi" w:eastAsia="Calibri" w:hAnsiTheme="majorBidi" w:cstheme="majorBidi"/>
          <w:color w:val="000000"/>
          <w:lang w:bidi="ar-AE"/>
        </w:rPr>
        <w:footnoteReference w:id="127"/>
      </w:r>
      <w:r>
        <w:rPr>
          <w:rFonts w:asciiTheme="majorBidi" w:eastAsia="Calibri" w:hAnsiTheme="majorBidi" w:cstheme="majorBidi"/>
          <w:color w:val="000000"/>
          <w:lang w:bidi="ar-AE"/>
        </w:rPr>
        <w:t>.</w:t>
      </w:r>
    </w:p>
    <w:p w14:paraId="510024E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legal regime of the host state governing foreign investment whether derived from domestic legislation or from the law expressly chosen by the parties (</w:t>
      </w:r>
      <w:r>
        <w:rPr>
          <w:rFonts w:asciiTheme="majorBidi" w:eastAsia="Calibri" w:hAnsiTheme="majorBidi" w:cstheme="majorBidi"/>
          <w:i/>
          <w:iCs/>
          <w:color w:val="000000"/>
          <w:lang w:bidi="ar-AE"/>
        </w:rPr>
        <w:t>lex voluntatis</w:t>
      </w:r>
      <w:r>
        <w:rPr>
          <w:rFonts w:asciiTheme="majorBidi" w:eastAsia="Calibri" w:hAnsiTheme="majorBidi" w:cstheme="majorBidi"/>
          <w:color w:val="000000"/>
          <w:lang w:bidi="ar-AE"/>
        </w:rPr>
        <w:t xml:space="preserve">) may </w:t>
      </w:r>
      <w:r>
        <w:rPr>
          <w:rFonts w:asciiTheme="majorBidi" w:eastAsia="Calibri" w:hAnsiTheme="majorBidi" w:cstheme="majorBidi"/>
          <w:color w:val="000000"/>
          <w:lang w:bidi="ar-AE"/>
        </w:rPr>
        <w:lastRenderedPageBreak/>
        <w:t>significantly reinforce the centrality of confidentiality as a defining feature of international commercial arbitration. In this context, confidentiality is not merely a procedural preference but may be elevated to a legally protected interest within the arbitral framework.</w:t>
      </w:r>
    </w:p>
    <w:p w14:paraId="0D94A27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certain circumstances, reliance on implied obligations or general assumptions of privacy may prove inadequate to ensure effective protection. Accordingly, confidentiality should be expressly recognised and articulated as a binding and essential element of the arbitration agreement itself, thereby establishing clear legal obligations governing the conduct of proceedings and the handling of sensitive information throughout the dispute resolution process </w:t>
      </w:r>
      <w:r>
        <w:rPr>
          <w:rStyle w:val="FootnoteReference"/>
          <w:rFonts w:asciiTheme="majorBidi" w:eastAsia="Calibri" w:hAnsiTheme="majorBidi" w:cstheme="majorBidi"/>
          <w:color w:val="000000"/>
          <w:lang w:bidi="ar-AE"/>
        </w:rPr>
        <w:footnoteReference w:id="128"/>
      </w:r>
      <w:r>
        <w:rPr>
          <w:rFonts w:asciiTheme="majorBidi" w:eastAsia="Calibri" w:hAnsiTheme="majorBidi" w:cstheme="majorBidi"/>
          <w:color w:val="000000"/>
          <w:lang w:bidi="ar-AE"/>
        </w:rPr>
        <w:t>.</w:t>
      </w:r>
    </w:p>
    <w:p w14:paraId="1A295BF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Concerns regarding the disclosure of sensitive information constitute one of the principal motivations for parties opting for arbitration rather than traditional court litigation. Parties entering into arbitration commonly proceed on the assumption that confidentiality is an inherent and defining attribute of the arbitral process, closely linked to the assurance of enforceable arbitral outcomes.</w:t>
      </w:r>
    </w:p>
    <w:p w14:paraId="3FB9D71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concept of confidentiality in arbitration possesses a distinctive character. It extends beyond the exclusion of third parties from arbitral hearings to encompass contractual obligations voluntarily undertaken by the parties themselves. These obligations typically require mutual non-disclosure of all materials generated or exchanged during the proceedings, including pleadings, evidentiary documents, witness statements, and expert reports. In many cases, such confidentiality commitments also apply to the arbitral award, prohibiting its disclosure or subsequent use outside the scope of enforcement or as otherwise expressly </w:t>
      </w:r>
      <w:r>
        <w:rPr>
          <w:rFonts w:asciiTheme="majorBidi" w:eastAsia="Calibri" w:hAnsiTheme="majorBidi" w:cstheme="majorBidi"/>
          <w:color w:val="000000"/>
          <w:lang w:bidi="ar-AE"/>
        </w:rPr>
        <w:lastRenderedPageBreak/>
        <w:t>permitted. This comprehensive approach underscores the central role of confidentiality in preserving the integrity, trust, and commercial sensitivity of the arbitration process</w:t>
      </w:r>
      <w:r>
        <w:rPr>
          <w:rStyle w:val="FootnoteReference"/>
          <w:rFonts w:asciiTheme="majorBidi" w:eastAsia="Calibri" w:hAnsiTheme="majorBidi" w:cstheme="majorBidi"/>
          <w:color w:val="000000"/>
          <w:lang w:bidi="ar-AE"/>
        </w:rPr>
        <w:footnoteReference w:id="129"/>
      </w:r>
      <w:r>
        <w:rPr>
          <w:rFonts w:asciiTheme="majorBidi" w:eastAsia="Calibri" w:hAnsiTheme="majorBidi" w:cstheme="majorBidi"/>
          <w:color w:val="000000"/>
          <w:lang w:bidi="ar-AE"/>
        </w:rPr>
        <w:t>.</w:t>
      </w:r>
    </w:p>
    <w:p w14:paraId="577C73D4"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Accordingly, most international arbitration rules governing the operation of arbitral institutions expressly affirm the confidential nature of both arbitral proceedings and the awards rendered, subject only to limited exceptions such as mandatory disclosure pursuant to a judicial order. A defining advantage of arbitration lies in its inherently private character, which restricts participation to the disputing parties and the appointed arbitrators.</w:t>
      </w:r>
    </w:p>
    <w:p w14:paraId="5C745EE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Arbitral hearings are typically conducted in closed sessions, thereby excluding public access. The involvement of third parties is permitted only where it is strictly necessary for the conduct of the proceedings and where such participation has been expressly agreed upon by the parties. This structured privacy reinforces confidentiality as a core feature of arbitration and distinguishes it fundamentally from public court litigation.</w:t>
      </w:r>
      <w:r>
        <w:rPr>
          <w:rStyle w:val="FootnoteReference"/>
          <w:rFonts w:asciiTheme="majorBidi" w:eastAsia="Calibri" w:hAnsiTheme="majorBidi" w:cstheme="majorBidi"/>
          <w:color w:val="000000"/>
          <w:lang w:bidi="ar-AE"/>
        </w:rPr>
        <w:footnoteReference w:id="130"/>
      </w:r>
      <w:r>
        <w:rPr>
          <w:rFonts w:asciiTheme="majorBidi" w:eastAsia="Calibri" w:hAnsiTheme="majorBidi" w:cstheme="majorBidi"/>
          <w:color w:val="000000"/>
          <w:lang w:bidi="ar-AE"/>
        </w:rPr>
        <w:t>.</w:t>
      </w:r>
    </w:p>
    <w:p w14:paraId="7769004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addition, arbitration is generally governed by a broad duty of confidentiality, albeit one that is subject to narrowly defined exceptions. As a foundational principle, parties are ordinarily prohibited from disclosing information arising from the arbitral process, including procedural matters and the content of the final award. Confidentiality thus operates across both the conduct of the proceedings and their outcomes, and this principle is widely acknowledged within international arbitration practice.</w:t>
      </w:r>
    </w:p>
    <w:p w14:paraId="123BBCF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Indeed, arbitration is commonly perceived—particularly in its strictest sense—as a private method of dispute resolution carried out within a confidential environment. This </w:t>
      </w:r>
      <w:r>
        <w:rPr>
          <w:rFonts w:asciiTheme="majorBidi" w:eastAsia="Calibri" w:hAnsiTheme="majorBidi" w:cstheme="majorBidi"/>
          <w:color w:val="000000"/>
          <w:lang w:bidi="ar-AE"/>
        </w:rPr>
        <w:lastRenderedPageBreak/>
        <w:t>understanding more accurately reflects the practical realities of arbitration than an exclusive focus on technical debates concerning the precise legal nature, scope, or enforceability of confidentiality obligations</w:t>
      </w:r>
      <w:r>
        <w:rPr>
          <w:rStyle w:val="FootnoteReference"/>
          <w:rFonts w:asciiTheme="majorBidi" w:eastAsia="Calibri" w:hAnsiTheme="majorBidi" w:cstheme="majorBidi"/>
          <w:color w:val="000000"/>
          <w:lang w:bidi="ar-AE"/>
        </w:rPr>
        <w:footnoteReference w:id="131"/>
      </w:r>
      <w:r>
        <w:rPr>
          <w:rFonts w:asciiTheme="majorBidi" w:eastAsia="Calibri" w:hAnsiTheme="majorBidi" w:cstheme="majorBidi"/>
          <w:color w:val="000000"/>
          <w:lang w:bidi="ar-AE"/>
        </w:rPr>
        <w:t>.</w:t>
      </w:r>
    </w:p>
    <w:p w14:paraId="18CE2E0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private character of arbitral proceedings constitutes one of arbitration’s principal advantages, as disputes resolved through this mechanism are generally shielded from public exposure. At the international level, confidentiality is frequently identified as a decisive factor influencing parties—particularly in commercial contexts—to select arbitration over judicial litigation. Nevertheless, the legal foundations underpinning confidentiality obligations in arbitration differ substantially across jurisdictions. Variations in legislative frameworks and judicial interpretation mean that the scope, source, and enforceability of confidentiality protections are not uniform, giving rise to differing standards of protection depending on the applicable legal system </w:t>
      </w:r>
      <w:r>
        <w:rPr>
          <w:rStyle w:val="FootnoteReference"/>
          <w:rFonts w:asciiTheme="majorBidi" w:eastAsia="Calibri" w:hAnsiTheme="majorBidi" w:cstheme="majorBidi"/>
          <w:color w:val="000000"/>
          <w:lang w:bidi="ar-AE"/>
        </w:rPr>
        <w:footnoteReference w:id="132"/>
      </w:r>
      <w:r>
        <w:rPr>
          <w:rFonts w:asciiTheme="majorBidi" w:eastAsia="Calibri" w:hAnsiTheme="majorBidi" w:cstheme="majorBidi"/>
          <w:color w:val="000000"/>
          <w:lang w:bidi="ar-AE"/>
        </w:rPr>
        <w:t>.</w:t>
      </w:r>
    </w:p>
    <w:p w14:paraId="38C8562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legal foundation for confidentiality obligations, despite lacking precise uniformity and consensus, is generally built—especially in Anglo-Saxon legal systems, from which it has extended into European jurisdictions—on three main principles.</w:t>
      </w:r>
      <w:r>
        <w:rPr>
          <w:rStyle w:val="FootnoteReference"/>
          <w:rFonts w:asciiTheme="majorBidi" w:eastAsia="Calibri" w:hAnsiTheme="majorBidi" w:cstheme="majorBidi"/>
          <w:color w:val="000000"/>
          <w:lang w:bidi="ar-AE"/>
        </w:rPr>
        <w:footnoteReference w:id="133"/>
      </w:r>
      <w:r>
        <w:rPr>
          <w:rFonts w:asciiTheme="majorBidi" w:eastAsia="Calibri" w:hAnsiTheme="majorBidi" w:cstheme="majorBidi"/>
          <w:color w:val="000000"/>
          <w:lang w:bidi="ar-AE"/>
        </w:rPr>
        <w:t>:</w:t>
      </w:r>
    </w:p>
    <w:p w14:paraId="789EC673" w14:textId="77777777" w:rsidR="00F073C0" w:rsidRPr="008819FD" w:rsidRDefault="00F073C0" w:rsidP="00663759">
      <w:pPr>
        <w:numPr>
          <w:ilvl w:val="0"/>
          <w:numId w:val="10"/>
        </w:numPr>
        <w:shd w:val="clear" w:color="auto" w:fill="FFFFFF"/>
        <w:spacing w:before="0" w:after="160" w:line="480" w:lineRule="auto"/>
        <w:ind w:firstLine="720"/>
        <w:rPr>
          <w:rFonts w:asciiTheme="majorBidi" w:eastAsia="Calibri" w:hAnsiTheme="majorBidi" w:cstheme="majorBidi"/>
          <w:color w:val="000000"/>
          <w:lang w:bidi="ar-AE"/>
        </w:rPr>
      </w:pPr>
      <w:r>
        <w:rPr>
          <w:rFonts w:asciiTheme="majorBidi" w:eastAsia="Calibri" w:hAnsiTheme="majorBidi" w:cstheme="majorBidi"/>
          <w:b/>
          <w:bCs/>
          <w:color w:val="000000"/>
          <w:lang w:bidi="ar-AE"/>
        </w:rPr>
        <w:t>Statutory Confidentiality Obligations:</w:t>
      </w:r>
      <w:r>
        <w:rPr>
          <w:rFonts w:asciiTheme="majorBidi" w:eastAsia="Calibri" w:hAnsiTheme="majorBidi" w:cstheme="majorBidi"/>
          <w:color w:val="000000"/>
          <w:lang w:bidi="ar-AE"/>
        </w:rPr>
        <w:t xml:space="preserve"> In certain jurisdictions, confidentiality in arbitration is expressly regulated by statutory provisions, either through the law governing the arbitral seat or under national arbitration legislation. Where such explicit rules exist, they provide a direct legal basis for confidentiality obligations applicable to arbitral proceedings. In situations involving a conflict of laws, </w:t>
      </w:r>
      <w:r>
        <w:rPr>
          <w:rFonts w:asciiTheme="majorBidi" w:eastAsia="Calibri" w:hAnsiTheme="majorBidi" w:cstheme="majorBidi"/>
          <w:color w:val="000000"/>
          <w:lang w:bidi="ar-AE"/>
        </w:rPr>
        <w:lastRenderedPageBreak/>
        <w:t>the law governing the arbitration agreement assumes particular significance, as it constitutes the primary reference point for determining the scope, content, and enforceability of confidentiality duties owed by the parties and other participants in the arbitration.</w:t>
      </w:r>
    </w:p>
    <w:p w14:paraId="7E301C44" w14:textId="77777777" w:rsidR="00F073C0" w:rsidRPr="008819FD" w:rsidRDefault="00F073C0" w:rsidP="00663759">
      <w:pPr>
        <w:numPr>
          <w:ilvl w:val="0"/>
          <w:numId w:val="10"/>
        </w:numPr>
        <w:shd w:val="clear" w:color="auto" w:fill="FFFFFF"/>
        <w:spacing w:before="0" w:after="160" w:line="480" w:lineRule="auto"/>
        <w:ind w:firstLine="720"/>
        <w:rPr>
          <w:rFonts w:asciiTheme="majorBidi" w:eastAsia="Calibri" w:hAnsiTheme="majorBidi" w:cstheme="majorBidi"/>
          <w:color w:val="000000"/>
          <w:lang w:bidi="ar-AE"/>
        </w:rPr>
      </w:pPr>
      <w:r>
        <w:rPr>
          <w:rFonts w:asciiTheme="majorBidi" w:eastAsia="Calibri" w:hAnsiTheme="majorBidi" w:cstheme="majorBidi"/>
          <w:b/>
          <w:bCs/>
          <w:color w:val="000000"/>
          <w:lang w:bidi="ar-AE"/>
        </w:rPr>
        <w:t>Confidentiality as a Component of the Arbitration Agreement:</w:t>
      </w:r>
      <w:r>
        <w:rPr>
          <w:rFonts w:asciiTheme="majorBidi" w:eastAsia="Calibri" w:hAnsiTheme="majorBidi" w:cstheme="majorBidi"/>
          <w:color w:val="000000"/>
          <w:lang w:bidi="ar-AE"/>
        </w:rPr>
        <w:t xml:space="preserve"> Confidentiality obligations may arise directly from the arbitration agreement itself, whether expressly stipulated or implied by its terms. Where the arbitration agreement is governed by a legal system different from that of the arbitral seat, the agreement may take precedence over statutory confidentiality rules in determining the parties’ obligations. This approach has been consistently recognised in judicial practice, particularly in British, Singaporean, and Australian case law, where courts have treated the arbitration agreement as the principal source of confidentiality duties binding on the parties.</w:t>
      </w:r>
      <w:r>
        <w:rPr>
          <w:rStyle w:val="FootnoteReference"/>
          <w:rFonts w:asciiTheme="majorBidi" w:eastAsia="Calibri" w:hAnsiTheme="majorBidi" w:cstheme="majorBidi"/>
          <w:color w:val="000000"/>
          <w:lang w:bidi="ar-AE"/>
        </w:rPr>
        <w:footnoteReference w:id="134"/>
      </w:r>
      <w:r>
        <w:rPr>
          <w:rFonts w:asciiTheme="majorBidi" w:eastAsia="Calibri" w:hAnsiTheme="majorBidi" w:cstheme="majorBidi"/>
          <w:color w:val="000000"/>
          <w:lang w:bidi="ar-AE"/>
        </w:rPr>
        <w:t>.</w:t>
      </w:r>
    </w:p>
    <w:p w14:paraId="619AEAE5" w14:textId="77777777" w:rsidR="00446679" w:rsidRDefault="00F073C0" w:rsidP="00C24791">
      <w:pPr>
        <w:pStyle w:val="NormalWeb"/>
        <w:numPr>
          <w:ilvl w:val="0"/>
          <w:numId w:val="10"/>
        </w:numPr>
        <w:spacing w:line="480" w:lineRule="auto"/>
        <w:ind w:firstLine="720"/>
        <w:rPr>
          <w:rFonts w:asciiTheme="majorBidi" w:hAnsiTheme="majorBidi" w:cstheme="majorBidi"/>
        </w:rPr>
      </w:pPr>
      <w:r>
        <w:rPr>
          <w:rStyle w:val="Strong"/>
          <w:rFonts w:asciiTheme="majorBidi" w:eastAsiaTheme="majorEastAsia" w:hAnsiTheme="majorBidi" w:cstheme="majorBidi"/>
        </w:rPr>
        <w:t xml:space="preserve">Confidentiality Arising from Proprietary Interests in Sensitive </w:t>
      </w:r>
      <w:r w:rsidR="00C24791">
        <w:rPr>
          <w:rStyle w:val="Strong"/>
          <w:rFonts w:asciiTheme="majorBidi" w:eastAsiaTheme="majorEastAsia" w:hAnsiTheme="majorBidi" w:cstheme="majorBidi"/>
        </w:rPr>
        <w:t>Information:</w:t>
      </w:r>
      <w:r w:rsidR="00C24791" w:rsidRPr="00C24791">
        <w:rPr>
          <w:rFonts w:asciiTheme="majorBidi" w:hAnsiTheme="majorBidi" w:cstheme="majorBidi"/>
        </w:rPr>
        <w:t xml:space="preserve"> </w:t>
      </w:r>
    </w:p>
    <w:p w14:paraId="16B94B86" w14:textId="52D0A85A" w:rsidR="00F073C0" w:rsidRPr="00C24791" w:rsidRDefault="00C24791" w:rsidP="006C0CA4">
      <w:pPr>
        <w:pStyle w:val="NormalWeb"/>
        <w:spacing w:line="480" w:lineRule="auto"/>
        <w:ind w:left="720"/>
        <w:rPr>
          <w:rFonts w:asciiTheme="majorBidi" w:hAnsiTheme="majorBidi" w:cstheme="majorBidi"/>
        </w:rPr>
      </w:pPr>
      <w:r w:rsidRPr="00C24791">
        <w:rPr>
          <w:rFonts w:asciiTheme="majorBidi" w:hAnsiTheme="majorBidi" w:cstheme="majorBidi"/>
        </w:rPr>
        <w:t>Confidentiality</w:t>
      </w:r>
      <w:r w:rsidR="00157A6B">
        <w:rPr>
          <w:rFonts w:asciiTheme="majorBidi" w:hAnsiTheme="majorBidi" w:cstheme="majorBidi"/>
        </w:rPr>
        <w:t xml:space="preserve"> i</w:t>
      </w:r>
      <w:r w:rsidR="00157A6B" w:rsidRPr="00C24791">
        <w:rPr>
          <w:rFonts w:asciiTheme="majorBidi" w:hAnsiTheme="majorBidi" w:cstheme="majorBidi"/>
        </w:rPr>
        <w:t>s itself one of the principal reasons that commercial parties choose arbitration in preference to litigation, particularly where the dispute involves trade secrets or other commercially sensitive information that the parties wish to keep out of the public domain.</w:t>
      </w:r>
      <w:r w:rsidR="00157A6B">
        <w:rPr>
          <w:rStyle w:val="FootnoteReference"/>
          <w:rFonts w:asciiTheme="majorBidi" w:hAnsiTheme="majorBidi" w:cstheme="majorBidi"/>
        </w:rPr>
        <w:footnoteReference w:id="135"/>
      </w:r>
      <w:r w:rsidR="00157A6B" w:rsidRPr="00C24791">
        <w:rPr>
          <w:rFonts w:asciiTheme="majorBidi" w:hAnsiTheme="majorBidi" w:cstheme="majorBidi"/>
        </w:rPr>
        <w:t xml:space="preserve"> </w:t>
      </w:r>
      <w:r w:rsidR="00F073C0" w:rsidRPr="00C24791">
        <w:rPr>
          <w:rFonts w:asciiTheme="majorBidi" w:hAnsiTheme="majorBidi" w:cstheme="majorBidi"/>
        </w:rPr>
        <w:t xml:space="preserve">A further basis for confidentiality obligations in arbitration stems </w:t>
      </w:r>
      <w:r w:rsidR="00F073C0" w:rsidRPr="00C24791">
        <w:rPr>
          <w:rFonts w:asciiTheme="majorBidi" w:hAnsiTheme="majorBidi" w:cstheme="majorBidi"/>
        </w:rPr>
        <w:lastRenderedPageBreak/>
        <w:t>from the proprietary interests that parties hold in confidential or commercially sensitive information disclosed during the proceedings. This rationale is particularly relevant in commercial arbitration, where disputes frequently involve trade secrets, proprietary business data, or other confidential assets. Such confidentiality protection is commonly grounded in intellectual property rights or, more broadly, in legally recognised rights to privacy and the protection of confidential information,</w:t>
      </w:r>
      <w:r w:rsidR="004019DF">
        <w:rPr>
          <w:rFonts w:asciiTheme="majorBidi" w:hAnsiTheme="majorBidi" w:cstheme="majorBidi"/>
        </w:rPr>
        <w:t>.</w:t>
      </w:r>
    </w:p>
    <w:p w14:paraId="627A8E91" w14:textId="1446DC0B" w:rsidR="00987C1D" w:rsidRPr="006C0CA4" w:rsidRDefault="00987C1D" w:rsidP="006C0CA4">
      <w:pPr>
        <w:pStyle w:val="NormalWeb"/>
        <w:spacing w:line="480" w:lineRule="auto"/>
        <w:ind w:left="720"/>
        <w:rPr>
          <w:rFonts w:asciiTheme="majorBidi" w:hAnsiTheme="majorBidi" w:cstheme="majorBidi"/>
        </w:rPr>
      </w:pPr>
      <w:r w:rsidRPr="006C0CA4">
        <w:rPr>
          <w:rFonts w:asciiTheme="majorBidi" w:hAnsiTheme="majorBidi" w:cstheme="majorBidi"/>
        </w:rPr>
        <w:t>The question of whether arbitral awards should be published is mainly about balancing transparency and confidentiality. Supporters of publication say it makes arbitration more open and trustworthy by letting the public see how decisions are made. This can be especially important in cases that affect whole industries or the public, as it shows how legal rules are applied. Publishing awards also helps lawyers, researchers, and future tribunals learn from past decisions, which can make outcomes more predictable. Some experts believe that knowing their decisions might be published encourages arbitrators to be more careful and thorough</w:t>
      </w:r>
      <w:r>
        <w:rPr>
          <w:rStyle w:val="FootnoteReference"/>
          <w:rFonts w:asciiTheme="majorBidi" w:hAnsiTheme="majorBidi" w:cstheme="majorBidi"/>
        </w:rPr>
        <w:footnoteReference w:id="136"/>
      </w:r>
      <w:r w:rsidRPr="006C0CA4">
        <w:rPr>
          <w:rFonts w:asciiTheme="majorBidi" w:hAnsiTheme="majorBidi" w:cstheme="majorBidi"/>
        </w:rPr>
        <w:t>.</w:t>
      </w:r>
    </w:p>
    <w:p w14:paraId="5BA30E7D" w14:textId="43445424" w:rsidR="00987C1D" w:rsidRPr="006C0CA4" w:rsidRDefault="00987C1D" w:rsidP="006C0CA4">
      <w:pPr>
        <w:pStyle w:val="NormalWeb"/>
        <w:spacing w:line="480" w:lineRule="auto"/>
        <w:ind w:left="720"/>
        <w:rPr>
          <w:rFonts w:asciiTheme="majorBidi" w:hAnsiTheme="majorBidi" w:cstheme="majorBidi"/>
        </w:rPr>
      </w:pPr>
      <w:r w:rsidRPr="006C0CA4">
        <w:rPr>
          <w:rFonts w:asciiTheme="majorBidi" w:hAnsiTheme="majorBidi" w:cstheme="majorBidi"/>
        </w:rPr>
        <w:t>On the other hand, many argue that confidentiality is a key reason people choose arbitration. Businesses want to keep sensitive information and trade secrets private, and publishing awards might risk exposing these details. Preparing awards for publication also takes extra time and resources, which could make arbitration less efficient. As Zlatanska</w:t>
      </w:r>
      <w:r w:rsidR="006C0CA4">
        <w:rPr>
          <w:rFonts w:asciiTheme="majorBidi" w:hAnsiTheme="majorBidi" w:cstheme="majorBidi"/>
        </w:rPr>
        <w:t xml:space="preserve"> </w:t>
      </w:r>
      <w:r w:rsidRPr="006C0CA4">
        <w:rPr>
          <w:rFonts w:asciiTheme="majorBidi" w:hAnsiTheme="majorBidi" w:cstheme="majorBidi"/>
        </w:rPr>
        <w:t xml:space="preserve">explains, deciding to publish means weighing the benefits of openness against the need for privacy. </w:t>
      </w:r>
      <w:r w:rsidR="006C0CA4">
        <w:rPr>
          <w:rFonts w:asciiTheme="majorBidi" w:hAnsiTheme="majorBidi" w:cstheme="majorBidi"/>
        </w:rPr>
        <w:t>Its</w:t>
      </w:r>
      <w:r w:rsidRPr="006C0CA4">
        <w:rPr>
          <w:rFonts w:asciiTheme="majorBidi" w:hAnsiTheme="majorBidi" w:cstheme="majorBidi"/>
        </w:rPr>
        <w:t xml:space="preserve"> adds that problems can come up when confidential awards are taken to court, since court records are usually public and might </w:t>
      </w:r>
      <w:r w:rsidRPr="006C0CA4">
        <w:rPr>
          <w:rFonts w:asciiTheme="majorBidi" w:hAnsiTheme="majorBidi" w:cstheme="majorBidi"/>
        </w:rPr>
        <w:lastRenderedPageBreak/>
        <w:t>reveal information meant to be kept private. In the end, whether or not to publish arbitral awards is an important policy decision that could affect how arbitration develops in the future</w:t>
      </w:r>
      <w:r>
        <w:rPr>
          <w:rStyle w:val="FootnoteReference"/>
          <w:rFonts w:asciiTheme="majorBidi" w:hAnsiTheme="majorBidi" w:cstheme="majorBidi"/>
        </w:rPr>
        <w:footnoteReference w:id="137"/>
      </w:r>
      <w:r w:rsidRPr="006C0CA4">
        <w:rPr>
          <w:rFonts w:asciiTheme="majorBidi" w:hAnsiTheme="majorBidi" w:cstheme="majorBidi"/>
        </w:rPr>
        <w:t>.</w:t>
      </w:r>
    </w:p>
    <w:p w14:paraId="6EE686F1" w14:textId="7B3BE6BA" w:rsidR="00987C1D" w:rsidRPr="006C0CA4" w:rsidRDefault="00987C1D" w:rsidP="006C0CA4">
      <w:pPr>
        <w:pStyle w:val="NormalWeb"/>
        <w:spacing w:line="480" w:lineRule="auto"/>
        <w:ind w:left="720"/>
        <w:rPr>
          <w:rFonts w:asciiTheme="majorBidi" w:hAnsiTheme="majorBidi" w:cstheme="majorBidi"/>
        </w:rPr>
      </w:pPr>
      <w:r w:rsidRPr="006C0CA4">
        <w:rPr>
          <w:rFonts w:asciiTheme="majorBidi" w:hAnsiTheme="majorBidi" w:cstheme="majorBidi"/>
        </w:rPr>
        <w:t xml:space="preserve">From the </w:t>
      </w:r>
      <w:r>
        <w:rPr>
          <w:rFonts w:asciiTheme="majorBidi" w:hAnsiTheme="majorBidi" w:cstheme="majorBidi"/>
        </w:rPr>
        <w:t>researcher</w:t>
      </w:r>
      <w:r w:rsidRPr="006C0CA4">
        <w:rPr>
          <w:rFonts w:asciiTheme="majorBidi" w:hAnsiTheme="majorBidi" w:cstheme="majorBidi"/>
        </w:rPr>
        <w:t xml:space="preserve"> perspective, the arguments for maintaining confidentiality in arbitration are particularly compelling. In the world of business, the ability to resolve disputes discreetly is often vital. Companies rely on arbitration to keep their sensitive information, such as commercial strategies and trade secrets, away from competitors and the public eye. If awards were routinely published, even after redacting names and details, it would still be possible for attentive readers to piece together confidential information, which defeats the purpose of private resolution. This potential for unwanted exposure means some businesses might hesitate to use arbitration at all, turning instead to less effective options.</w:t>
      </w:r>
    </w:p>
    <w:p w14:paraId="1CD3BC3F" w14:textId="27E9E9CE" w:rsidR="00987C1D" w:rsidRPr="006C0CA4" w:rsidRDefault="00987C1D" w:rsidP="005246FB">
      <w:pPr>
        <w:pStyle w:val="NormalWeb"/>
        <w:spacing w:line="480" w:lineRule="auto"/>
        <w:ind w:left="720"/>
        <w:rPr>
          <w:rFonts w:asciiTheme="majorBidi" w:hAnsiTheme="majorBidi" w:cstheme="majorBidi"/>
        </w:rPr>
      </w:pPr>
      <w:r w:rsidRPr="006C0CA4">
        <w:rPr>
          <w:rFonts w:asciiTheme="majorBidi" w:hAnsiTheme="majorBidi" w:cstheme="majorBidi"/>
        </w:rPr>
        <w:t xml:space="preserve">Additionally, the process of preparing awards for publication is not as simple as it may seem. It takes extra time and resources to carefully review, redact, and anonymize decisions, which could delay the resolution of disputes and increase costs for all parties involved. This undermines one of arbitration’s main advantages: its efficiency. Preserving confidentiality, on the other hand, ensures that parties feel secure and respected throughout the process. While transparency has its benefits, especially </w:t>
      </w:r>
      <w:r w:rsidR="005246FB">
        <w:rPr>
          <w:rFonts w:asciiTheme="majorBidi" w:hAnsiTheme="majorBidi" w:cstheme="majorBidi"/>
        </w:rPr>
        <w:t>when the</w:t>
      </w:r>
      <w:r w:rsidRPr="006C0CA4">
        <w:rPr>
          <w:rFonts w:asciiTheme="majorBidi" w:hAnsiTheme="majorBidi" w:cstheme="majorBidi"/>
        </w:rPr>
        <w:t xml:space="preserve"> public interest outweighs privacy, the core value of arbitration lies in its promise of discretion. For most commercial disputes, it is better to keep arbitral awards confidential, unless there is a truly compelling reason to do otherwise. This approach </w:t>
      </w:r>
      <w:r w:rsidRPr="006C0CA4">
        <w:rPr>
          <w:rFonts w:asciiTheme="majorBidi" w:hAnsiTheme="majorBidi" w:cstheme="majorBidi"/>
        </w:rPr>
        <w:lastRenderedPageBreak/>
        <w:t>upholds the unique strengths of arbitration and encourages businesses to continue using it as a trusted method of dispute resolution.</w:t>
      </w:r>
    </w:p>
    <w:p w14:paraId="5D932008" w14:textId="64BE4881"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 number of arbitral institutions have incorporated express confidentiality obligations within their procedural rules. By way of illustration, the London Court of International Arbitration has specifically addressed confidentiality in Article 39.30 of its Arbitration Rules, which sets out clear duties concerning the non-disclosure of arbitral proceedings, documents, and awards, subject to limited and well-defined exceptions. This institutional approach reflects a broader effort to codify confidentiality as a core procedural safeguard within international arbitration practice. stating that</w:t>
      </w:r>
      <w:r>
        <w:rPr>
          <w:rStyle w:val="FootnoteReference"/>
          <w:rFonts w:asciiTheme="majorBidi" w:eastAsia="Calibri" w:hAnsiTheme="majorBidi" w:cstheme="majorBidi"/>
          <w:color w:val="000000"/>
          <w:lang w:bidi="ar-AE"/>
        </w:rPr>
        <w:footnoteReference w:id="138"/>
      </w:r>
      <w:r>
        <w:rPr>
          <w:rFonts w:asciiTheme="majorBidi" w:eastAsia="Calibri" w:hAnsiTheme="majorBidi" w:cstheme="majorBidi"/>
          <w:color w:val="000000"/>
          <w:lang w:bidi="ar-AE"/>
        </w:rPr>
        <w:t>:</w:t>
      </w:r>
    </w:p>
    <w:p w14:paraId="7040B044"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Under these provisions, the parties are subject to a general obligation to preserve the confidentiality of arbitral awards, unless they have expressly agreed to waive or modify this requirement. In addition, all documents and materials submitted in the course of the arbitral proceedings are required to remain confidential.</w:t>
      </w:r>
    </w:p>
    <w:p w14:paraId="7CB706F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Collectively, these obligations demonstrate the increasing recognition of confidentiality as a core and indispensable feature of international arbitration. By safeguarding the privacy of proceedings, evidence, and outcomes, such provisions seek to protect commercially sensitive information and to prevent unnecessary public disclosure of business disputes.</w:t>
      </w:r>
      <w:r>
        <w:rPr>
          <w:rStyle w:val="FootnoteReference"/>
          <w:rFonts w:asciiTheme="majorBidi" w:eastAsia="Calibri" w:hAnsiTheme="majorBidi" w:cstheme="majorBidi"/>
          <w:color w:val="000000"/>
          <w:lang w:bidi="ar-AE"/>
        </w:rPr>
        <w:footnoteReference w:id="139"/>
      </w:r>
      <w:r>
        <w:rPr>
          <w:rFonts w:asciiTheme="majorBidi" w:eastAsia="Calibri" w:hAnsiTheme="majorBidi" w:cstheme="majorBidi"/>
          <w:color w:val="000000"/>
          <w:lang w:bidi="ar-AE"/>
        </w:rPr>
        <w:t>.</w:t>
      </w:r>
    </w:p>
    <w:p w14:paraId="1493A2C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obligation of confidentiality in arbitration is not confined solely to the disputing parties but may also extend to third parties who acquire knowledge of the proceedings in </w:t>
      </w:r>
      <w:r>
        <w:rPr>
          <w:rFonts w:asciiTheme="majorBidi" w:eastAsia="Calibri" w:hAnsiTheme="majorBidi" w:cstheme="majorBidi"/>
          <w:color w:val="000000"/>
          <w:lang w:bidi="ar-AE"/>
        </w:rPr>
        <w:lastRenderedPageBreak/>
        <w:t>specific capacities, such as witnesses, expert witnesses, or individuals entrusted with statutory or professional disclosure duties. While such persons are generally bound by confidentiality, disclosure may be lawfully permitted where it is required to protect or assert a legal right grounded in the public interest.</w:t>
      </w:r>
    </w:p>
    <w:p w14:paraId="7ED86CC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Limited disclosure may be justified where necessary for the enforcement of an arbitral award, the initiation of annulment or set-aside proceedings, or the review of procedural irregularities before competent national courts or other judicial authorities. These exceptions reflect a balance between preserving the private nature of arbitration and ensuring compliance with overriding legal and public policy obligations</w:t>
      </w:r>
      <w:r>
        <w:rPr>
          <w:rStyle w:val="FootnoteReference"/>
          <w:rFonts w:asciiTheme="majorBidi" w:eastAsia="Calibri" w:hAnsiTheme="majorBidi" w:cstheme="majorBidi"/>
          <w:color w:val="000000"/>
          <w:lang w:bidi="ar-AE"/>
        </w:rPr>
        <w:footnoteReference w:id="140"/>
      </w:r>
      <w:r>
        <w:rPr>
          <w:rFonts w:asciiTheme="majorBidi" w:eastAsia="Calibri" w:hAnsiTheme="majorBidi" w:cstheme="majorBidi"/>
          <w:color w:val="000000"/>
          <w:lang w:bidi="ar-AE"/>
        </w:rPr>
        <w:t>.</w:t>
      </w:r>
    </w:p>
    <w:p w14:paraId="4FD303B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internal deliberations of an arbitral tribunal are likewise subject to strict confidentiality obligations binding upon its members. Disclosure of such deliberations is permitted only in limited circumstances expressly provided for under the rules of the relevant arbitral institution, such as where an arbitrator’s refusal or failure to participate in the proceedings must be formally recorded.</w:t>
      </w:r>
    </w:p>
    <w:p w14:paraId="6D43288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Outside narrowly defined exceptions relating to public interest considerations or the protection of third-party rights, national courts do not publish arbitral awards, or extracts thereof, without the prior written consent of both the parties and the arbitral tribunal. This judicial restraint reflects a broader commitment to preserving the private character of arbitration.</w:t>
      </w:r>
    </w:p>
    <w:p w14:paraId="447685BB"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this context, Article 30.3 of the London Court of International Arbitration Rules constitutes a notable development in arbitration practice under English law, as it expressly </w:t>
      </w:r>
      <w:r>
        <w:rPr>
          <w:rFonts w:asciiTheme="majorBidi" w:eastAsia="Calibri" w:hAnsiTheme="majorBidi" w:cstheme="majorBidi"/>
          <w:color w:val="000000"/>
          <w:lang w:bidi="ar-AE"/>
        </w:rPr>
        <w:lastRenderedPageBreak/>
        <w:t>reinforces the obligation of domestic courts to respect and uphold the confidentiality of arbitral proceedings. When assessing the confidentiality of arbitration-related communications, it is therefore essential to distinguish between information that forms part of the tribunal’s protected deliberative process and information that may be disclosed only under clearly defined legal or procedural exception</w:t>
      </w:r>
      <w:r>
        <w:rPr>
          <w:rStyle w:val="FootnoteReference"/>
          <w:rFonts w:asciiTheme="majorBidi" w:eastAsia="Calibri" w:hAnsiTheme="majorBidi" w:cstheme="majorBidi"/>
          <w:color w:val="000000"/>
          <w:lang w:bidi="ar-AE"/>
        </w:rPr>
        <w:footnoteReference w:id="141"/>
      </w:r>
      <w:r>
        <w:rPr>
          <w:rFonts w:asciiTheme="majorBidi" w:eastAsia="Calibri" w:hAnsiTheme="majorBidi" w:cstheme="majorBidi"/>
          <w:color w:val="000000"/>
          <w:lang w:bidi="ar-AE"/>
        </w:rPr>
        <w:t>.</w:t>
      </w:r>
    </w:p>
    <w:p w14:paraId="11F523E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Such disclosures differ fundamentally from general public dissemination, as they may be justified by overriding public interest considerations. These may include the need to facilitate governmental fact-finding processes, resolve broader legal questions, or inform the development of public policy and regulatory frameworks. In these circumstances, limited disclosure serves a functional legal purpose rather than constituting a departure from the principle of arbitral confidentiality.</w:t>
      </w:r>
    </w:p>
    <w:p w14:paraId="046E83D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Historically, arbitration occupied a relatively marginal position within the United States legal system during the late nineteenth and early twentieth centuries. Judicial and legal institutions at that time expressed considerable scepticism regarding arbitration’s capacity to ensure fairness and procedural justice. Over the course of the twentieth century, however, attitudes toward arbitration evolved markedly. Judicial hostility gradually diminished, giving way to legislative reforms that strengthened the enforceability of arbitration agreements and awards. This shift culminated in the development of a modern federal arbitration regime and the institutionalisation of arbitration through the establishment of bodies such as the </w:t>
      </w:r>
      <w:r>
        <w:rPr>
          <w:rFonts w:asciiTheme="majorBidi" w:eastAsia="Calibri" w:hAnsiTheme="majorBidi" w:cstheme="majorBidi"/>
          <w:b/>
          <w:bCs/>
          <w:color w:val="000000"/>
          <w:lang w:bidi="ar-AE"/>
        </w:rPr>
        <w:lastRenderedPageBreak/>
        <w:t>American Arbitration Association</w:t>
      </w:r>
      <w:r>
        <w:rPr>
          <w:rFonts w:asciiTheme="majorBidi" w:eastAsia="Calibri" w:hAnsiTheme="majorBidi" w:cstheme="majorBidi"/>
          <w:color w:val="000000"/>
          <w:lang w:bidi="ar-AE"/>
        </w:rPr>
        <w:t>, which played a central role in promoting arbitration as a credible and effective alternative to court litigation.</w:t>
      </w:r>
      <w:r>
        <w:rPr>
          <w:rStyle w:val="FootnoteReference"/>
          <w:rFonts w:asciiTheme="majorBidi" w:eastAsia="Calibri" w:hAnsiTheme="majorBidi" w:cstheme="majorBidi"/>
          <w:color w:val="000000"/>
          <w:lang w:bidi="ar-AE"/>
        </w:rPr>
        <w:footnoteReference w:id="142"/>
      </w:r>
      <w:r>
        <w:rPr>
          <w:rFonts w:asciiTheme="majorBidi" w:eastAsia="Calibri" w:hAnsiTheme="majorBidi" w:cstheme="majorBidi"/>
          <w:color w:val="000000"/>
          <w:lang w:bidi="ar-AE"/>
        </w:rPr>
        <w:t>.</w:t>
      </w:r>
    </w:p>
    <w:p w14:paraId="1EC4E125" w14:textId="77777777" w:rsidR="00F073C0" w:rsidRPr="008819FD" w:rsidRDefault="00F073C0" w:rsidP="00663759">
      <w:pPr>
        <w:shd w:val="clear" w:color="auto" w:fill="FFFFFF"/>
        <w:spacing w:before="0" w:after="16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the early twentieth century, significant legislative and institutional developments laid the foundation for modern arbitration practice in the United States. In 1920, the State of New York reformed its arbitration legislation to give binding effect to arbitration agreements relating to future disputes, marking a decisive shift toward judicial recognition of arbitration. Building on this reform, the </w:t>
      </w:r>
      <w:r>
        <w:rPr>
          <w:rFonts w:asciiTheme="majorBidi" w:eastAsia="Calibri" w:hAnsiTheme="majorBidi" w:cstheme="majorBidi"/>
          <w:b/>
          <w:bCs/>
          <w:color w:val="000000"/>
          <w:lang w:bidi="ar-AE"/>
        </w:rPr>
        <w:t>American Bar Association</w:t>
      </w:r>
      <w:r>
        <w:rPr>
          <w:rFonts w:asciiTheme="majorBidi" w:eastAsia="Calibri" w:hAnsiTheme="majorBidi" w:cstheme="majorBidi"/>
          <w:color w:val="000000"/>
          <w:lang w:bidi="ar-AE"/>
        </w:rPr>
        <w:t xml:space="preserve"> prepared a draft federal arbitration bill in 1921, drawing heavily on New York’s legislative model. This proposal was subsequently submitted to Congress and ultimately led to the enactment of the Federal Arbitration Act in 1925, which established a nationwide framework for the enforcement of arbitration agreements and arbitral awards.</w:t>
      </w:r>
    </w:p>
    <w:p w14:paraId="01FDFC98" w14:textId="77777777" w:rsidR="00F073C0" w:rsidRPr="008819FD" w:rsidRDefault="00F073C0" w:rsidP="00663759">
      <w:pPr>
        <w:shd w:val="clear" w:color="auto" w:fill="FFFFFF"/>
        <w:spacing w:before="0" w:after="16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During the same period, the </w:t>
      </w:r>
      <w:r>
        <w:rPr>
          <w:rFonts w:asciiTheme="majorBidi" w:eastAsia="Calibri" w:hAnsiTheme="majorBidi" w:cstheme="majorBidi"/>
          <w:b/>
          <w:bCs/>
          <w:color w:val="000000"/>
          <w:lang w:bidi="ar-AE"/>
        </w:rPr>
        <w:t>American Arbitration Association</w:t>
      </w:r>
      <w:r>
        <w:rPr>
          <w:rFonts w:asciiTheme="majorBidi" w:eastAsia="Calibri" w:hAnsiTheme="majorBidi" w:cstheme="majorBidi"/>
          <w:color w:val="000000"/>
          <w:lang w:bidi="ar-AE"/>
        </w:rPr>
        <w:t xml:space="preserve"> played a pivotal role in advancing arbitration practice by promoting its use and ensuring access to trained and qualified arbitrators. Together, these developments contributed to the institutionalisation of arbitration in the United States and to its acceptance as a credible and effective alternative to court litigation.</w:t>
      </w:r>
    </w:p>
    <w:p w14:paraId="07D016E2" w14:textId="77777777" w:rsidR="00F073C0" w:rsidRPr="008819FD" w:rsidRDefault="00F073C0" w:rsidP="00663759">
      <w:pPr>
        <w:shd w:val="clear" w:color="auto" w:fill="FFFFFF"/>
        <w:spacing w:before="0" w:after="16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w:t>
      </w:r>
      <w:r>
        <w:rPr>
          <w:rFonts w:asciiTheme="majorBidi" w:eastAsia="Calibri" w:hAnsiTheme="majorBidi" w:cstheme="majorBidi"/>
          <w:b/>
          <w:bCs/>
          <w:color w:val="000000"/>
          <w:lang w:bidi="ar-AE"/>
        </w:rPr>
        <w:t>France</w:t>
      </w:r>
      <w:r>
        <w:rPr>
          <w:rFonts w:asciiTheme="majorBidi" w:eastAsia="Calibri" w:hAnsiTheme="majorBidi" w:cstheme="majorBidi"/>
          <w:color w:val="000000"/>
          <w:lang w:bidi="ar-AE"/>
        </w:rPr>
        <w:t>, arbitration operates within a dual legal framework that differentiates between domestic and international proceedings. Domestic arbitration is governed by the provisions of the Civil Procedure Code applicable to internal disputes, while international arbitration is subject to a distinct set of rules designed to accommodate cross-border commercial relations.</w:t>
      </w:r>
    </w:p>
    <w:p w14:paraId="550A9067" w14:textId="77777777" w:rsidR="00F073C0" w:rsidRPr="008819FD" w:rsidRDefault="00F073C0" w:rsidP="00663759">
      <w:pPr>
        <w:shd w:val="clear" w:color="auto" w:fill="FFFFFF"/>
        <w:spacing w:before="0" w:after="16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French law does not impose an absolute statutory prohibition on the disclosure of information obtained during arbitral proceedings in subsequent judicial actions. Nevertheless, a party that elects to disclose such information may incur civil liability where the disclosure constitutes a breach of confidentiality or amounts to the unlawful exploitation of confidential or commercially sensitive material, giving rise to compensable harm.</w:t>
      </w:r>
    </w:p>
    <w:p w14:paraId="1152A803" w14:textId="77777777" w:rsidR="00F073C0" w:rsidRPr="008819FD" w:rsidRDefault="00F073C0" w:rsidP="00663759">
      <w:pPr>
        <w:shd w:val="clear" w:color="auto" w:fill="FFFFFF"/>
        <w:spacing w:before="0" w:after="16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To prevent unauthorised disclosure, an affected party may seek urgent judicial relief before the French courts through summary proceedings. In such cases, courts may grant injunctive measures where the applicant demonstrates urgency or the risk of imminent and irreparable harm resulting from the disclosure or misuse of arbitral information. This approach reflects the French legal system’s effort to balance the absence of an explicit statutory confidentiality rule with the protection of legitimate confidentiality and commercial interests</w:t>
      </w:r>
      <w:r>
        <w:rPr>
          <w:rStyle w:val="FootnoteReference"/>
          <w:rFonts w:asciiTheme="majorBidi" w:eastAsia="Calibri" w:hAnsiTheme="majorBidi" w:cstheme="majorBidi"/>
          <w:color w:val="000000"/>
          <w:lang w:bidi="ar-AE"/>
        </w:rPr>
        <w:footnoteReference w:id="143"/>
      </w:r>
      <w:r>
        <w:rPr>
          <w:rFonts w:asciiTheme="majorBidi" w:eastAsia="Calibri" w:hAnsiTheme="majorBidi" w:cstheme="majorBidi"/>
          <w:color w:val="000000"/>
          <w:lang w:bidi="ar-AE"/>
        </w:rPr>
        <w:t>.</w:t>
      </w:r>
    </w:p>
    <w:p w14:paraId="2B04352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Although French law does not contain express statutory provisions specifically regulating the confidentiality of arbitral proceedings, it is broadly recognised in France that the decision to submit an international commercial dispute to arbitration carries an implied obligation of confidentiality. French judicial practice consistently treats confidentiality as an inherent feature of arbitration, particularly in the context of international commercial disputes. This judicial approach reflects the understanding that arbitration, by its private nature, presupposes a mutual commitment by the parties to preserve the confidentiality of the proceedings and related information, even in the absence of an explicit contractual or </w:t>
      </w:r>
      <w:r>
        <w:rPr>
          <w:rFonts w:asciiTheme="majorBidi" w:eastAsia="Calibri" w:hAnsiTheme="majorBidi" w:cstheme="majorBidi"/>
          <w:color w:val="000000"/>
          <w:lang w:bidi="ar-AE"/>
        </w:rPr>
        <w:lastRenderedPageBreak/>
        <w:t>legislative mandate.</w:t>
      </w:r>
      <w:r>
        <w:rPr>
          <w:rStyle w:val="FootnoteReference"/>
          <w:rFonts w:asciiTheme="majorBidi" w:eastAsia="Calibri" w:hAnsiTheme="majorBidi" w:cstheme="majorBidi"/>
          <w:color w:val="000000"/>
          <w:lang w:bidi="ar-AE"/>
        </w:rPr>
        <w:footnoteReference w:id="144"/>
      </w:r>
      <w:r>
        <w:rPr>
          <w:rFonts w:asciiTheme="majorBidi" w:eastAsia="Calibri" w:hAnsiTheme="majorBidi" w:cstheme="majorBidi"/>
          <w:color w:val="000000"/>
          <w:lang w:bidi="ar-AE"/>
        </w:rPr>
        <w:t>. Furthermore, arbitrators are required not to disclose confidential information and must maintain the confidentiality of all matters related to the arbitration and its award. Any disclosure of such information could constitute, under French criminal law, a breach of professional secrecy.</w:t>
      </w:r>
      <w:r>
        <w:rPr>
          <w:rStyle w:val="FootnoteReference"/>
          <w:rFonts w:asciiTheme="majorBidi" w:eastAsia="Calibri" w:hAnsiTheme="majorBidi" w:cstheme="majorBidi"/>
          <w:color w:val="000000"/>
          <w:lang w:bidi="ar-AE"/>
        </w:rPr>
        <w:footnoteReference w:id="145"/>
      </w:r>
      <w:r>
        <w:rPr>
          <w:rFonts w:asciiTheme="majorBidi" w:eastAsia="Calibri" w:hAnsiTheme="majorBidi" w:cstheme="majorBidi"/>
          <w:color w:val="000000"/>
          <w:lang w:bidi="ar-AE"/>
        </w:rPr>
        <w:t>.</w:t>
      </w:r>
    </w:p>
    <w:p w14:paraId="5B7836F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Germany, arbitration—particularly in the sphere of international commercial disputes—has long been recognised as an established and effective form of alternative dispute resolution. The enactment of the German Arbitration Act in 1998 marked a significant development in this regard, as it was designed to support both domestic and international arbitration proceedings. The Act closely follows the UNCITRAL Model Law, thereby creating a legal framework that is familiar to the international arbitration community and attractive to foreign investors.</w:t>
      </w:r>
    </w:p>
    <w:p w14:paraId="2DE1901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p>
    <w:p w14:paraId="4161FE4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underlying objective of the German legislature was to align national arbitration law with internationally accepted standards, ensuring legal predictability and reinforcing Germany’s reputation as an arbitration-friendly jurisdiction. Arbitral proceedings conducted in Germany are private in nature, and any disclosure of information arising from the arbitration is governed by the agreement of the parties and the applicable procedural rules of the arbitral forum.</w:t>
      </w:r>
    </w:p>
    <w:p w14:paraId="6764B28C"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p>
    <w:p w14:paraId="1D228D0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Arbitrators are subject to a strict duty of confidentiality, which prohibits the disclosure of the arbitral award, its reasoning, or related details without the express consent of the parties. This obligation extends to the protection of the parties’ identities, further reinforcing confidentiality as a fundamental principle of arbitration practice within the German legal system.</w:t>
      </w:r>
      <w:r>
        <w:rPr>
          <w:rStyle w:val="FootnoteReference"/>
          <w:rFonts w:asciiTheme="majorBidi" w:eastAsia="Calibri" w:hAnsiTheme="majorBidi" w:cstheme="majorBidi"/>
          <w:color w:val="000000"/>
          <w:lang w:bidi="ar-AE"/>
        </w:rPr>
        <w:footnoteReference w:id="146"/>
      </w:r>
      <w:r>
        <w:rPr>
          <w:rFonts w:asciiTheme="majorBidi" w:eastAsia="Calibri" w:hAnsiTheme="majorBidi" w:cstheme="majorBidi"/>
          <w:color w:val="000000"/>
          <w:lang w:bidi="ar-AE"/>
        </w:rPr>
        <w:t>.</w:t>
      </w:r>
    </w:p>
    <w:p w14:paraId="518871F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the German context, confidentiality obligations in arbitration generally derive either from the express agreement of the parties or from institutional arbitration rules incorporated into the arbitration agreement. Accordingly, the permissibility of disclosing arbitration-related information—whether during the proceedings or at a subsequent stage—depends on the specific scope of the confidentiality commitments undertaken by the parties or on the existence of a judicial order mandating disclosure of materials, including the arbitral award.</w:t>
      </w:r>
    </w:p>
    <w:p w14:paraId="7A8A2F8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Within Germany, legal scholarship remains divided on the normative status of confidentiality in arbitration. Several commentators contend that confidentiality should not be presumed as an automatic or binding feature of arbitral proceedings. According to this view, where an arbitration agreement does not contain an explicit confidentiality clause, and where no institutional rules imposing such obligations apply, there is no general duty of confidentiality under German arbitration law. This position highlights the importance of party autonomy and contractual clarity in determining the extent to which confidentiality obligations arise in arbitration proceedings.</w:t>
      </w:r>
      <w:r>
        <w:rPr>
          <w:rStyle w:val="FootnoteReference"/>
          <w:rFonts w:asciiTheme="majorBidi" w:eastAsia="Calibri" w:hAnsiTheme="majorBidi" w:cstheme="majorBidi"/>
          <w:color w:val="000000"/>
          <w:lang w:bidi="ar-AE"/>
        </w:rPr>
        <w:footnoteReference w:id="147"/>
      </w:r>
      <w:r>
        <w:rPr>
          <w:rFonts w:asciiTheme="majorBidi" w:eastAsia="Calibri" w:hAnsiTheme="majorBidi" w:cstheme="majorBidi"/>
          <w:color w:val="000000"/>
          <w:lang w:bidi="ar-AE"/>
        </w:rPr>
        <w:t>.</w:t>
      </w:r>
    </w:p>
    <w:p w14:paraId="224E63D4"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 xml:space="preserve"> Others contend that the arbitration agreement itself implies an implicit obligation of confidentiality. Neither the German Arbitration Act nor the UNCITRAL Model Law explicitly regulates confidentiality in arbitration proceedings. However, it is widely acknowledged that parties, arbitrators, and arbitral institutions are expected to uphold the confidentiality of arbitration proceedings.</w:t>
      </w:r>
      <w:r>
        <w:rPr>
          <w:rStyle w:val="FootnoteReference"/>
          <w:rFonts w:asciiTheme="majorBidi" w:eastAsia="Calibri" w:hAnsiTheme="majorBidi" w:cstheme="majorBidi"/>
          <w:color w:val="000000"/>
          <w:lang w:bidi="ar-AE"/>
        </w:rPr>
        <w:footnoteReference w:id="148"/>
      </w:r>
      <w:r>
        <w:rPr>
          <w:rFonts w:asciiTheme="majorBidi" w:eastAsia="Calibri" w:hAnsiTheme="majorBidi" w:cstheme="majorBidi"/>
          <w:color w:val="000000"/>
          <w:lang w:bidi="ar-AE"/>
        </w:rPr>
        <w:t>.</w:t>
      </w:r>
    </w:p>
    <w:p w14:paraId="34587364"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conversely, other commentators argue that the arbitration agreement itself gives rise to an implied duty of confidentiality, even in the absence of an express contractual provision. While neither the German Arbitration Act nor the UNCITRAL Model Law contains explicit rules governing confidentiality in arbitral proceedings, it is nevertheless widely accepted in practice that arbitration is conducted within a private framework.</w:t>
      </w:r>
    </w:p>
    <w:p w14:paraId="404F7FB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 this basis, parties, arbitrators, and arbitral institutions are generally expected to respect the confidential nature of arbitral proceedings and to refrain from disclosing information obtained through the arbitration process, unless disclosure is required by law or authorised by the parties. This expectation reflects prevailing arbitral practice and reinforces confidentiality as a normative, albeit not expressly codified, principle within German arbitration </w:t>
      </w:r>
      <w:r>
        <w:rPr>
          <w:rStyle w:val="FootnoteReference"/>
          <w:rFonts w:asciiTheme="majorBidi" w:eastAsia="Calibri" w:hAnsiTheme="majorBidi" w:cstheme="majorBidi"/>
          <w:color w:val="000000"/>
          <w:lang w:bidi="ar-AE"/>
        </w:rPr>
        <w:footnoteReference w:id="149"/>
      </w:r>
      <w:r>
        <w:rPr>
          <w:rFonts w:asciiTheme="majorBidi" w:eastAsia="Calibri" w:hAnsiTheme="majorBidi" w:cstheme="majorBidi"/>
          <w:color w:val="000000"/>
          <w:lang w:bidi="ar-AE"/>
        </w:rPr>
        <w:t xml:space="preserve">. Under the rules of the </w:t>
      </w:r>
      <w:r>
        <w:rPr>
          <w:rFonts w:asciiTheme="majorBidi" w:eastAsia="Calibri" w:hAnsiTheme="majorBidi" w:cstheme="majorBidi"/>
          <w:b/>
          <w:bCs/>
          <w:color w:val="000000"/>
          <w:lang w:bidi="ar-AE"/>
        </w:rPr>
        <w:t>German Arbitration Institute (DIS)</w:t>
      </w:r>
      <w:r>
        <w:rPr>
          <w:rFonts w:asciiTheme="majorBidi" w:eastAsia="Calibri" w:hAnsiTheme="majorBidi" w:cstheme="majorBidi"/>
          <w:color w:val="000000"/>
          <w:lang w:bidi="ar-AE"/>
        </w:rPr>
        <w:t>, confidentiality generally requires that information arising from arbitral proceedings is not disclosed to persons who are not directly involved in the arbitration. This obligation applies to the parties, arbitrators, and other participants within the scope defined by the institutional rules.</w:t>
      </w:r>
    </w:p>
    <w:p w14:paraId="44E39F1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However, this duty is not absolute. Where a third party seeks disclosure pursuant to a valid court order, the relevant documents or information must be produced, as German law does not recognise an overarching privilege that would categorically shield arbitral materials from disclosure in judicial proceedings. Moreover, in the absence of an express confidentiality undertaking—whether contractual or institutional—the parties may, as a matter of principle, use information obtained during the arbitration for purposes beyond those originally contemplated, subject to general legal constraints such as the protection of trade secrets or personal data.</w:t>
      </w:r>
      <w:r>
        <w:rPr>
          <w:rStyle w:val="FootnoteReference"/>
          <w:rFonts w:asciiTheme="majorBidi" w:eastAsia="Calibri" w:hAnsiTheme="majorBidi" w:cstheme="majorBidi"/>
          <w:color w:val="000000"/>
          <w:lang w:bidi="ar-AE"/>
        </w:rPr>
        <w:footnoteReference w:id="150"/>
      </w:r>
      <w:r>
        <w:rPr>
          <w:rFonts w:asciiTheme="majorBidi" w:eastAsia="Calibri" w:hAnsiTheme="majorBidi" w:cstheme="majorBidi"/>
          <w:color w:val="000000"/>
          <w:lang w:bidi="ar-AE"/>
        </w:rPr>
        <w:t xml:space="preserve">. </w:t>
      </w:r>
    </w:p>
    <w:p w14:paraId="6B5C239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Even where the parties have contractually undertaken to maintain confidentiality, arbitral practice recognises certain justified exceptions, particularly where disclosure is necessary to protect legitimate legal or commercial interests. For example, a party may be permitted to rely on information obtained during arbitration in subsequent proceedings, such as a claim brought against an insurer, where such use is reasonably required to assert or defend legal rights.</w:t>
      </w:r>
    </w:p>
    <w:p w14:paraId="48CEC5C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Consequently, the scope and strength of confidentiality protection in arbitration are largely determined by the specific terms agreed upon by the parties. In the absence of mandatory confidentiality provisions under the rules of the </w:t>
      </w:r>
      <w:r>
        <w:rPr>
          <w:rFonts w:asciiTheme="majorBidi" w:eastAsia="Calibri" w:hAnsiTheme="majorBidi" w:cstheme="majorBidi"/>
          <w:b/>
          <w:bCs/>
          <w:color w:val="000000"/>
          <w:lang w:bidi="ar-AE"/>
        </w:rPr>
        <w:t>German Arbitration Institute</w:t>
      </w:r>
      <w:r>
        <w:rPr>
          <w:rFonts w:asciiTheme="majorBidi" w:eastAsia="Calibri" w:hAnsiTheme="majorBidi" w:cstheme="majorBidi"/>
          <w:color w:val="000000"/>
          <w:lang w:bidi="ar-AE"/>
        </w:rPr>
        <w:t>, confidentiality remains primarily a matter of contractual arrangement rather than an absolute procedural obligation. This approach underscores the central role of party autonomy in defining the limits of confidentiality within the German arbitration framework.</w:t>
      </w:r>
      <w:r>
        <w:rPr>
          <w:rStyle w:val="FootnoteReference"/>
          <w:rFonts w:asciiTheme="majorBidi" w:eastAsia="Calibri" w:hAnsiTheme="majorBidi" w:cstheme="majorBidi"/>
          <w:color w:val="000000"/>
          <w:lang w:bidi="ar-AE"/>
        </w:rPr>
        <w:footnoteReference w:id="151"/>
      </w:r>
      <w:r>
        <w:rPr>
          <w:rFonts w:asciiTheme="majorBidi" w:eastAsia="Calibri" w:hAnsiTheme="majorBidi" w:cstheme="majorBidi"/>
          <w:color w:val="000000"/>
          <w:lang w:bidi="ar-AE"/>
        </w:rPr>
        <w:t>.</w:t>
      </w:r>
    </w:p>
    <w:p w14:paraId="3F854BD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 xml:space="preserve">In </w:t>
      </w:r>
      <w:r>
        <w:rPr>
          <w:rFonts w:asciiTheme="majorBidi" w:eastAsia="Calibri" w:hAnsiTheme="majorBidi" w:cstheme="majorBidi"/>
          <w:b/>
          <w:bCs/>
          <w:color w:val="000000"/>
          <w:lang w:bidi="ar-AE"/>
        </w:rPr>
        <w:t>China</w:t>
      </w:r>
      <w:r>
        <w:rPr>
          <w:rFonts w:asciiTheme="majorBidi" w:eastAsia="Calibri" w:hAnsiTheme="majorBidi" w:cstheme="majorBidi"/>
          <w:color w:val="000000"/>
          <w:lang w:bidi="ar-AE"/>
        </w:rPr>
        <w:t>, the Arbitration Law of the People’s Republic of China (Law No. 31 of 1994, as amended) does not establish confidentiality as a mandatory feature of arbitral proceedings. Under Article 40 of the Arbitration Law, arbitral hearings are, in principle, conducted publicly unless the parties expressly agree otherwise. This approach indicates the absence of a general statutory obligation requiring parties to maintain confidentiality in arbitration.</w:t>
      </w:r>
    </w:p>
    <w:p w14:paraId="77BC337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Furthermore, confidentiality directions issued by arbitral tribunals do not extend to individuals who are not parties to the arbitration, such as administrative staff, interpreters, or witnesses. Consequently, the scope of confidentiality protection is inherently limited. Under Chinese law, breaches of confidentiality are treated as substantive civil law matters rather than procedural defects. As reflected in the Chinese Civil Procedure Law, a violation of confidentiality obligations does not invalidate the arbitral proceedings nor affect the validity or enforceability of the arbitral award. Instead, any consequences arising from such a breach are addressed separately through civil liability mechanisms</w:t>
      </w:r>
      <w:r>
        <w:rPr>
          <w:rStyle w:val="FootnoteReference"/>
          <w:rFonts w:asciiTheme="majorBidi" w:eastAsia="Calibri" w:hAnsiTheme="majorBidi" w:cstheme="majorBidi"/>
          <w:color w:val="000000"/>
          <w:lang w:bidi="ar-AE"/>
        </w:rPr>
        <w:footnoteReference w:id="152"/>
      </w:r>
      <w:r>
        <w:rPr>
          <w:rFonts w:asciiTheme="majorBidi" w:eastAsia="Calibri" w:hAnsiTheme="majorBidi" w:cstheme="majorBidi"/>
          <w:color w:val="000000"/>
          <w:lang w:bidi="ar-AE"/>
        </w:rPr>
        <w:t>.</w:t>
      </w:r>
    </w:p>
    <w:p w14:paraId="0A0EBEA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w:t>
      </w:r>
      <w:r>
        <w:rPr>
          <w:rFonts w:asciiTheme="majorBidi" w:eastAsia="Calibri" w:hAnsiTheme="majorBidi" w:cstheme="majorBidi"/>
          <w:b/>
          <w:bCs/>
          <w:color w:val="000000"/>
          <w:lang w:bidi="ar-AE"/>
        </w:rPr>
        <w:t>World Intellectual Property Organisation Arbitration and Mediation Centre</w:t>
      </w:r>
      <w:r>
        <w:rPr>
          <w:rFonts w:asciiTheme="majorBidi" w:eastAsia="Calibri" w:hAnsiTheme="majorBidi" w:cstheme="majorBidi"/>
          <w:color w:val="000000"/>
          <w:lang w:bidi="ar-AE"/>
        </w:rPr>
        <w:t xml:space="preserve"> has adopted a particularly robust approach to confidentiality, reinforcing it as a core attribute of international commercial arbitration. Pursuant to Articles 75–77 of the WIPO Arbitration Rules, which entered into force on 1 June 2014, the unilateral disclosure of any information exchanged during arbitral proceedings is strictly prohibited. Disclosure is permitted only where it is mandated by law or ordered by a competent judicial authority, and even in such circumstances, it must be confined to the minimum extent legally required.</w:t>
      </w:r>
    </w:p>
    <w:p w14:paraId="72B4306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Importantly, these confidentiality obligations extend beyond the disputing parties and the arbitral tribunal to encompass all individuals who become aware of confidential information in the course of the arbitration. This includes witnesses, expert witnesses, and administrative or support personnel. Such persons are prohibited from disclosing any arbitration-related information unless they have obtained the prior written consent of both parties. This comprehensive framework reflects WIPO’s commitment to ensuring a high level of confidentiality and trust in arbitration proceedings, particularly in disputes involving sensitive intellectual property and commercial interests.</w:t>
      </w:r>
      <w:r>
        <w:rPr>
          <w:rStyle w:val="FootnoteReference"/>
          <w:rFonts w:asciiTheme="majorBidi" w:eastAsia="Calibri" w:hAnsiTheme="majorBidi" w:cstheme="majorBidi"/>
          <w:color w:val="000000"/>
          <w:lang w:bidi="ar-AE"/>
        </w:rPr>
        <w:footnoteReference w:id="153"/>
      </w:r>
      <w:r>
        <w:rPr>
          <w:rFonts w:asciiTheme="majorBidi" w:eastAsia="Calibri" w:hAnsiTheme="majorBidi" w:cstheme="majorBidi"/>
          <w:color w:val="000000"/>
          <w:lang w:bidi="ar-AE"/>
        </w:rPr>
        <w:t>.</w:t>
      </w:r>
    </w:p>
    <w:p w14:paraId="05B2D52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 distinctive feature of confidentiality protection under the World Intellectual Property Organisation Arbitration and Mediation Centre regime is the application of vicarious liability. Under this approach, a party may be held responsible for any breach of confidentiality committed by a witness or expert it has appointed or introduced into the arbitral proceedings. Where such a witness or expert unlawfully discloses confidential information, the party concerned may, in turn, pursue legal remedies against that individual for losses resulting from the unauthorised disclosure.</w:t>
      </w:r>
    </w:p>
    <w:p w14:paraId="38A860A2"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addition, the confidentiality regime under the WIPO Arbitration Rules extends to the arbitral award itself, which is treated as confidential information. Disclosure of the award is prohibited unless the parties have given their mutual consent or where disclosure is mandated by applicable law or ordered by a competent judicial authority. This framework reflects WIPO’s stringent approach to confidentiality and its commitment to safeguarding </w:t>
      </w:r>
      <w:r>
        <w:rPr>
          <w:rFonts w:asciiTheme="majorBidi" w:eastAsia="Calibri" w:hAnsiTheme="majorBidi" w:cstheme="majorBidi"/>
          <w:color w:val="000000"/>
          <w:lang w:bidi="ar-AE"/>
        </w:rPr>
        <w:lastRenderedPageBreak/>
        <w:t>sensitive information throughout the entire arbitral process, from proceedings to final award.</w:t>
      </w:r>
      <w:r>
        <w:rPr>
          <w:rStyle w:val="FootnoteReference"/>
          <w:rFonts w:asciiTheme="majorBidi" w:eastAsia="Calibri" w:hAnsiTheme="majorBidi" w:cstheme="majorBidi"/>
          <w:color w:val="000000"/>
          <w:lang w:bidi="ar-AE"/>
        </w:rPr>
        <w:footnoteReference w:id="154"/>
      </w:r>
      <w:r>
        <w:rPr>
          <w:rFonts w:asciiTheme="majorBidi" w:eastAsia="Calibri" w:hAnsiTheme="majorBidi" w:cstheme="majorBidi"/>
          <w:color w:val="000000"/>
          <w:lang w:bidi="ar-AE"/>
        </w:rPr>
        <w:t>.</w:t>
      </w:r>
    </w:p>
    <w:p w14:paraId="2E8FFF6B"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Approaches to confidentiality differ considerably across institutional arbitration rules. The </w:t>
      </w:r>
      <w:r>
        <w:rPr>
          <w:rFonts w:asciiTheme="majorBidi" w:eastAsia="Calibri" w:hAnsiTheme="majorBidi" w:cstheme="majorBidi"/>
          <w:b/>
          <w:bCs/>
          <w:color w:val="000000"/>
          <w:lang w:bidi="ar-AE"/>
        </w:rPr>
        <w:t>International Chamber of Commerce</w:t>
      </w:r>
      <w:r>
        <w:rPr>
          <w:rFonts w:asciiTheme="majorBidi" w:eastAsia="Calibri" w:hAnsiTheme="majorBidi" w:cstheme="majorBidi"/>
          <w:color w:val="000000"/>
          <w:lang w:bidi="ar-AE"/>
        </w:rPr>
        <w:t xml:space="preserve"> Arbitration Rules and the </w:t>
      </w:r>
      <w:r>
        <w:rPr>
          <w:rFonts w:asciiTheme="majorBidi" w:eastAsia="Calibri" w:hAnsiTheme="majorBidi" w:cstheme="majorBidi"/>
          <w:b/>
          <w:bCs/>
          <w:color w:val="000000"/>
          <w:lang w:bidi="ar-AE"/>
        </w:rPr>
        <w:t>United Nations Commission on International Trade Law</w:t>
      </w:r>
      <w:r>
        <w:rPr>
          <w:rFonts w:asciiTheme="majorBidi" w:eastAsia="Calibri" w:hAnsiTheme="majorBidi" w:cstheme="majorBidi"/>
          <w:color w:val="000000"/>
          <w:lang w:bidi="ar-AE"/>
        </w:rPr>
        <w:t xml:space="preserve"> Arbitration Rules provide that arbitral hearings are to be conducted in private. However, neither set of rules expressly regulates the confidentiality of documents exchanged during the proceedings or the disclosure of arbitral awards.</w:t>
      </w:r>
    </w:p>
    <w:p w14:paraId="65467A2B"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By contrast, the Arbitration Rules of the Stockholm Chamber of Commerce impose explicit confidentiality obligations on the arbitral institution and the tribunal in relation to the conduct of the proceedings. Notably, these rules do not extend the same express duty of confidentiality to the parties themselves. Moreover, the SCC has not, to date, introduced amendments aimed at strengthening or expanding confidentiality obligations within its current arbitration framework.</w:t>
      </w:r>
      <w:r>
        <w:rPr>
          <w:rStyle w:val="FootnoteReference"/>
          <w:rFonts w:asciiTheme="majorBidi" w:eastAsia="Calibri" w:hAnsiTheme="majorBidi" w:cstheme="majorBidi"/>
          <w:color w:val="000000"/>
          <w:lang w:bidi="ar-AE"/>
        </w:rPr>
        <w:footnoteReference w:id="155"/>
      </w:r>
      <w:r>
        <w:rPr>
          <w:rFonts w:asciiTheme="majorBidi" w:eastAsia="Calibri" w:hAnsiTheme="majorBidi" w:cstheme="majorBidi"/>
          <w:color w:val="000000"/>
          <w:lang w:bidi="ar-AE"/>
        </w:rPr>
        <w:t>.</w:t>
      </w:r>
    </w:p>
    <w:p w14:paraId="5BC9BCB4"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Because of the varied and often fragmented institutional approaches to confidentiality, the inclusion of confidentiality clauses in arbitration agreements has become not merely common but virtually standard practice in international commercial contracts. Parties increasingly rely on such clauses to ensure legal certainty and to safeguard sensitive commercial interests throughout the arbitral process.</w:t>
      </w:r>
    </w:p>
    <w:p w14:paraId="6559339C"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 xml:space="preserve">In this context, the </w:t>
      </w:r>
      <w:r>
        <w:rPr>
          <w:rFonts w:asciiTheme="majorBidi" w:eastAsia="Calibri" w:hAnsiTheme="majorBidi" w:cstheme="majorBidi"/>
          <w:b/>
          <w:bCs/>
          <w:color w:val="000000"/>
          <w:lang w:bidi="ar-AE"/>
        </w:rPr>
        <w:t>United Nations Commission on International Trade Law</w:t>
      </w:r>
      <w:r>
        <w:rPr>
          <w:rFonts w:asciiTheme="majorBidi" w:eastAsia="Calibri" w:hAnsiTheme="majorBidi" w:cstheme="majorBidi"/>
          <w:color w:val="000000"/>
          <w:lang w:bidi="ar-AE"/>
        </w:rPr>
        <w:t xml:space="preserve"> Working Group on Arbitration Law Reform, in 1996, issued guidance on the regulation of confidentiality in arbitration. The Working Group recommended that arbitration agreements should expressly address key aspects of confidentiality, including in particular:</w:t>
      </w:r>
    </w:p>
    <w:p w14:paraId="2A1DC8EE" w14:textId="77777777" w:rsidR="00F073C0" w:rsidRPr="008819FD" w:rsidRDefault="00F073C0" w:rsidP="00663759">
      <w:pPr>
        <w:numPr>
          <w:ilvl w:val="0"/>
          <w:numId w:val="35"/>
        </w:num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b/>
          <w:bCs/>
          <w:color w:val="000000"/>
          <w:lang w:bidi="ar-AE"/>
        </w:rPr>
        <w:t>The scope of confidential information</w:t>
      </w:r>
      <w:r>
        <w:rPr>
          <w:rFonts w:asciiTheme="majorBidi" w:eastAsia="Calibri" w:hAnsiTheme="majorBidi" w:cstheme="majorBidi"/>
          <w:color w:val="000000"/>
          <w:lang w:bidi="ar-AE"/>
        </w:rPr>
        <w:t>, specifying the categories of data to be protected, such as financial information, trade secrets, technical materials, and any documents whose disclosure could prejudice one or both parties. This protection should also extend to the arbitral proceedings themselves and to the content of the arbitral award.</w:t>
      </w:r>
    </w:p>
    <w:p w14:paraId="53B22375" w14:textId="77777777" w:rsidR="00F073C0" w:rsidRPr="008819FD" w:rsidRDefault="00F073C0" w:rsidP="00663759">
      <w:pPr>
        <w:numPr>
          <w:ilvl w:val="0"/>
          <w:numId w:val="35"/>
        </w:num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b/>
          <w:bCs/>
          <w:color w:val="000000"/>
          <w:lang w:bidi="ar-AE"/>
        </w:rPr>
        <w:t>The measures required to preserve confidentiality</w:t>
      </w:r>
      <w:r>
        <w:rPr>
          <w:rFonts w:asciiTheme="majorBidi" w:eastAsia="Calibri" w:hAnsiTheme="majorBidi" w:cstheme="majorBidi"/>
          <w:color w:val="000000"/>
          <w:lang w:bidi="ar-AE"/>
        </w:rPr>
        <w:t>, including procedural, technical, and organisational safeguards designed to prevent unauthorised disclosure throughout and after the arbitration.</w:t>
      </w:r>
    </w:p>
    <w:p w14:paraId="740726E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These recommendations underscore the importance of contractual clarity in defining confidentiality obligations and reflect the broader recognition of confidentiality as a foundational element of international commercial arbitration.</w:t>
      </w:r>
      <w:r>
        <w:rPr>
          <w:rStyle w:val="FootnoteReference"/>
          <w:rFonts w:asciiTheme="majorBidi" w:eastAsia="Calibri" w:hAnsiTheme="majorBidi" w:cstheme="majorBidi"/>
          <w:color w:val="000000"/>
          <w:lang w:bidi="ar-AE"/>
        </w:rPr>
        <w:footnoteReference w:id="156"/>
      </w:r>
      <w:r>
        <w:rPr>
          <w:rFonts w:asciiTheme="majorBidi" w:eastAsia="Calibri" w:hAnsiTheme="majorBidi" w:cstheme="majorBidi"/>
          <w:color w:val="000000"/>
          <w:lang w:bidi="ar-AE"/>
        </w:rPr>
        <w:t>:</w:t>
      </w:r>
    </w:p>
    <w:p w14:paraId="516C5F3B" w14:textId="77777777" w:rsidR="00F073C0" w:rsidRPr="008819FD" w:rsidRDefault="00F073C0" w:rsidP="00663759">
      <w:pPr>
        <w:pStyle w:val="Heading2"/>
        <w:rPr>
          <w:rFonts w:asciiTheme="majorBidi" w:hAnsiTheme="majorBidi" w:cstheme="majorBidi"/>
          <w:sz w:val="24"/>
          <w:szCs w:val="24"/>
          <w:lang w:bidi="ar-AE"/>
        </w:rPr>
      </w:pPr>
      <w:bookmarkStart w:id="78" w:name="_Toc190813281"/>
      <w:bookmarkStart w:id="79" w:name="_Toc209626925"/>
      <w:bookmarkStart w:id="80" w:name="_Toc217491562"/>
      <w:bookmarkStart w:id="81" w:name="_Toc221804512"/>
      <w:r>
        <w:rPr>
          <w:rFonts w:asciiTheme="majorBidi" w:hAnsiTheme="majorBidi" w:cstheme="majorBidi"/>
          <w:sz w:val="24"/>
          <w:szCs w:val="24"/>
          <w:lang w:bidi="ar-AE"/>
        </w:rPr>
        <w:t>Digital technologies in commercial arbitration</w:t>
      </w:r>
      <w:bookmarkEnd w:id="78"/>
      <w:bookmarkEnd w:id="79"/>
      <w:bookmarkEnd w:id="80"/>
      <w:bookmarkEnd w:id="81"/>
    </w:p>
    <w:p w14:paraId="458E4941"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 xml:space="preserve">The preceding section demonstrated the inherent tension between the increasing reliance on digital technologies in international commercial arbitration and the traditional principles of confidentiality and privacy embedded in arbitration rules and soft-law instruments. Building on that analysis, the present section examines the extent to which </w:t>
      </w:r>
      <w:r>
        <w:rPr>
          <w:rFonts w:asciiTheme="majorBidi" w:hAnsiTheme="majorBidi" w:cstheme="majorBidi"/>
        </w:rPr>
        <w:lastRenderedPageBreak/>
        <w:t>arbitration stakeholders—including arbitral institutions, professional associations, arbitrators, legal practitioners, and users—remain insufficiently aware of, and inadequately prepared for, the risks created by this tension.</w:t>
      </w:r>
    </w:p>
    <w:p w14:paraId="7E9D0EE3"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This section focuses in particular on the role of default rules, institutional guidelines, and best-practice frameworks governing the use of digital technologies in arbitration and assesses the degree to which these instruments enhance stakeholder awareness of confidentiality and privacy risks arising from the involvement of information and communication technology (ICT) service providers. It evaluates how reliance on third-party digital platforms may expose sensitive arbitral data to unauthorised access, misuse, or security breaches.</w:t>
      </w:r>
    </w:p>
    <w:p w14:paraId="6A511738" w14:textId="77777777" w:rsidR="00F073C0" w:rsidRPr="008819FD" w:rsidRDefault="00F073C0" w:rsidP="00663759">
      <w:pPr>
        <w:pStyle w:val="NormalWeb"/>
        <w:spacing w:line="480" w:lineRule="auto"/>
        <w:ind w:firstLine="720"/>
        <w:rPr>
          <w:rFonts w:asciiTheme="majorBidi" w:eastAsia="Calibri" w:hAnsiTheme="majorBidi" w:cstheme="majorBidi"/>
          <w:color w:val="000000"/>
          <w:lang w:bidi="ar-AE"/>
        </w:rPr>
      </w:pPr>
      <w:r>
        <w:rPr>
          <w:rFonts w:asciiTheme="majorBidi" w:hAnsiTheme="majorBidi" w:cstheme="majorBidi"/>
        </w:rPr>
        <w:t>At the same time, the analysis seeks to strike a balance by considering how such risks can be managed without unduly expanding or overcomplicating procedural rules governing arbitral proceedings. In doing so, this section highlights the need for proportionate, risk-based approaches that preserve procedural efficiency while strengthening the protection of confidentiality and data privacy in technology-assisted arbitration</w:t>
      </w:r>
      <w:r>
        <w:rPr>
          <w:rStyle w:val="FootnoteReference"/>
          <w:rFonts w:asciiTheme="majorBidi" w:eastAsia="Calibri" w:hAnsiTheme="majorBidi" w:cstheme="majorBidi"/>
          <w:color w:val="000000"/>
          <w:lang w:bidi="ar-AE"/>
        </w:rPr>
        <w:footnoteReference w:id="157"/>
      </w:r>
      <w:r>
        <w:rPr>
          <w:rFonts w:asciiTheme="majorBidi" w:eastAsia="Calibri" w:hAnsiTheme="majorBidi" w:cstheme="majorBidi"/>
          <w:color w:val="000000"/>
          <w:lang w:bidi="ar-AE"/>
        </w:rPr>
        <w:t xml:space="preserve">. In addition, this section examines the extent to which the potential exposure of arbitral data—including confidential and private information—to third parties with access through information and communication technology (ICT) service providers can be effectively mitigated. The analysis considers </w:t>
      </w:r>
      <w:r>
        <w:rPr>
          <w:rFonts w:asciiTheme="majorBidi" w:eastAsia="Calibri" w:hAnsiTheme="majorBidi" w:cstheme="majorBidi"/>
          <w:color w:val="000000"/>
          <w:lang w:bidi="ar-AE"/>
        </w:rPr>
        <w:lastRenderedPageBreak/>
        <w:t>protective measures aimed at safeguarding arbitration data while avoiding the unnecessary expansion or excessive complexity of the procedural rules governing arbitral proceedings</w:t>
      </w:r>
      <w:r>
        <w:rPr>
          <w:rStyle w:val="FootnoteReference"/>
          <w:rFonts w:asciiTheme="majorBidi" w:eastAsia="Calibri" w:hAnsiTheme="majorBidi" w:cstheme="majorBidi"/>
          <w:color w:val="000000"/>
          <w:lang w:bidi="ar-AE"/>
        </w:rPr>
        <w:footnoteReference w:id="158"/>
      </w:r>
      <w:r>
        <w:rPr>
          <w:rFonts w:asciiTheme="majorBidi" w:eastAsia="Calibri" w:hAnsiTheme="majorBidi" w:cstheme="majorBidi"/>
          <w:color w:val="000000"/>
          <w:lang w:bidi="ar-AE"/>
        </w:rPr>
        <w:t>.</w:t>
      </w:r>
    </w:p>
    <w:p w14:paraId="43F4A9D1" w14:textId="77777777" w:rsidR="00F073C0" w:rsidRPr="008819FD" w:rsidRDefault="00F073C0" w:rsidP="009F5ACD">
      <w:pPr>
        <w:pStyle w:val="Heading3"/>
        <w:rPr>
          <w:rFonts w:asciiTheme="majorBidi" w:hAnsiTheme="majorBidi" w:cstheme="majorBidi"/>
          <w:lang w:bidi="ar-AE"/>
        </w:rPr>
      </w:pPr>
      <w:bookmarkStart w:id="82" w:name="_Toc190813282"/>
      <w:bookmarkStart w:id="83" w:name="_Toc209626926"/>
      <w:bookmarkStart w:id="84" w:name="_Toc217491563"/>
      <w:bookmarkStart w:id="85" w:name="_Toc221804513"/>
      <w:r>
        <w:rPr>
          <w:rFonts w:asciiTheme="majorBidi" w:hAnsiTheme="majorBidi" w:cstheme="majorBidi"/>
          <w:lang w:bidi="ar-AE"/>
        </w:rPr>
        <w:t>2.4.1 Emails</w:t>
      </w:r>
      <w:bookmarkEnd w:id="82"/>
      <w:bookmarkEnd w:id="83"/>
      <w:bookmarkEnd w:id="84"/>
      <w:bookmarkEnd w:id="85"/>
      <w:r>
        <w:rPr>
          <w:rFonts w:asciiTheme="majorBidi" w:hAnsiTheme="majorBidi" w:cstheme="majorBidi"/>
          <w:lang w:bidi="ar-AE"/>
        </w:rPr>
        <w:t xml:space="preserve"> </w:t>
      </w:r>
    </w:p>
    <w:p w14:paraId="1C23950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To date, no empirical study has specifically identified which email services are most used by arbitration practitioners. Nevertheless, findings from the 2021 Arbitration Survey indicate that 47 per cent of respondents recommended that arbitration professionals use secure or professional email accounts rather than free, web-based email services—such as </w:t>
      </w:r>
      <w:r>
        <w:rPr>
          <w:rFonts w:asciiTheme="majorBidi" w:eastAsia="Calibri" w:hAnsiTheme="majorBidi" w:cstheme="majorBidi"/>
          <w:b/>
          <w:bCs/>
          <w:color w:val="000000"/>
          <w:lang w:bidi="ar-AE"/>
        </w:rPr>
        <w:t>Gmail</w:t>
      </w:r>
      <w:r>
        <w:rPr>
          <w:rFonts w:asciiTheme="majorBidi" w:eastAsia="Calibri" w:hAnsiTheme="majorBidi" w:cstheme="majorBidi"/>
          <w:color w:val="000000"/>
          <w:lang w:bidi="ar-AE"/>
        </w:rPr>
        <w:t xml:space="preserve"> or </w:t>
      </w:r>
      <w:r>
        <w:rPr>
          <w:rFonts w:asciiTheme="majorBidi" w:eastAsia="Calibri" w:hAnsiTheme="majorBidi" w:cstheme="majorBidi"/>
          <w:b/>
          <w:bCs/>
          <w:color w:val="000000"/>
          <w:lang w:bidi="ar-AE"/>
        </w:rPr>
        <w:t>Hotmail (Outlook.com)</w:t>
      </w:r>
      <w:r>
        <w:rPr>
          <w:rFonts w:asciiTheme="majorBidi" w:eastAsia="Calibri" w:hAnsiTheme="majorBidi" w:cstheme="majorBidi"/>
          <w:color w:val="000000"/>
          <w:lang w:bidi="ar-AE"/>
        </w:rPr>
        <w:t>—when conducting arbitral correspondence.</w:t>
      </w:r>
    </w:p>
    <w:p w14:paraId="1C195982"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These findings suggest that both professional and web-based email services continue to be used in international commercial arbitration practice. Accordingly, this section treats them as two distinct categories of email communication relevant to arbitral proceedings. Following this overview of email usage, the analysis proceeds to examine the regulatory and procedural rules governing email communications within the context of arbitration, with particular attention to confidentiality, security, and data protection considerations</w:t>
      </w:r>
      <w:r>
        <w:rPr>
          <w:rStyle w:val="FootnoteReference"/>
          <w:rFonts w:asciiTheme="majorBidi" w:eastAsia="Calibri" w:hAnsiTheme="majorBidi" w:cstheme="majorBidi"/>
          <w:color w:val="000000"/>
          <w:lang w:bidi="ar-AE"/>
        </w:rPr>
        <w:footnoteReference w:id="159"/>
      </w:r>
      <w:r>
        <w:rPr>
          <w:rFonts w:asciiTheme="majorBidi" w:eastAsia="Calibri" w:hAnsiTheme="majorBidi" w:cstheme="majorBidi"/>
          <w:color w:val="000000"/>
          <w:lang w:bidi="ar-AE"/>
        </w:rPr>
        <w:t>.</w:t>
      </w:r>
    </w:p>
    <w:p w14:paraId="138B7E89" w14:textId="77777777" w:rsidR="00F073C0" w:rsidRPr="008819FD" w:rsidRDefault="00F073C0" w:rsidP="00663759">
      <w:pPr>
        <w:numPr>
          <w:ilvl w:val="1"/>
          <w:numId w:val="14"/>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i/>
          <w:iCs/>
          <w:color w:val="000000"/>
          <w:lang w:bidi="ar-AE"/>
        </w:rPr>
        <w:t>Secure email services</w:t>
      </w:r>
      <w:r>
        <w:rPr>
          <w:rFonts w:asciiTheme="majorBidi" w:eastAsia="Calibri" w:hAnsiTheme="majorBidi" w:cstheme="majorBidi"/>
          <w:color w:val="000000"/>
          <w:lang w:bidi="ar-AE"/>
        </w:rPr>
        <w:t xml:space="preserve"> </w:t>
      </w:r>
    </w:p>
    <w:p w14:paraId="69820AFC"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Although the 2021 Arbitration Survey does not identify which specific email providers qualify as secure, scholarly commentary consistently emphasises that email systems incorporating encryption offer enhanced protection for the confidentiality and integrity of electronic communications. Encrypted email services are generally regarded as more effective in safeguarding sensitive arbitral information against unauthorised access and interception. </w:t>
      </w:r>
      <w:r>
        <w:rPr>
          <w:rFonts w:asciiTheme="majorBidi" w:eastAsia="Calibri" w:hAnsiTheme="majorBidi" w:cstheme="majorBidi"/>
          <w:color w:val="000000"/>
          <w:lang w:bidi="ar-AE"/>
        </w:rPr>
        <w:lastRenderedPageBreak/>
        <w:t xml:space="preserve">Notably, several of these security features are also available within professional email platforms such as Microsoft Outlook, which supports encryption and advanced security controls suitable for professional legal communications </w:t>
      </w:r>
      <w:r>
        <w:rPr>
          <w:rStyle w:val="FootnoteReference"/>
          <w:rFonts w:asciiTheme="majorBidi" w:eastAsia="Calibri" w:hAnsiTheme="majorBidi" w:cstheme="majorBidi"/>
          <w:color w:val="000000"/>
          <w:lang w:bidi="ar-AE"/>
        </w:rPr>
        <w:footnoteReference w:id="160"/>
      </w:r>
      <w:r>
        <w:rPr>
          <w:rFonts w:asciiTheme="majorBidi" w:eastAsia="Calibri" w:hAnsiTheme="majorBidi" w:cstheme="majorBidi"/>
          <w:color w:val="000000"/>
          <w:lang w:bidi="ar-AE"/>
        </w:rPr>
        <w:t xml:space="preserve">. </w:t>
      </w:r>
    </w:p>
    <w:p w14:paraId="3CEC4EB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practical terms, email encryption in Microsoft Outlook operates by transforming readable message content into encrypted data that is unintelligible to unauthorised parties. Only the intended recipient, who possesses the corresponding private decryption key linked to the public encryption key used by the sender, can access the original message. Through this process, Outlook enhances the security of email communications by protecting the content exchanged between sender and recipient from interception or unauthorised access.</w:t>
      </w:r>
    </w:p>
    <w:p w14:paraId="5095D02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Although certain free email services offer optional encryption features, these protections are generally less comprehensive than those available through professional platforms such as Outlook. For instance, Gmail, a free service provided by Google, encrypts messages while stored on its servers and during transmission between Google-operated data centre s. However, when emails are sent from Gmail to external, non-Google providers, encryption using Transport Layer Security (TLS) is applied only where available and is not guaranteed in all cases.</w:t>
      </w:r>
    </w:p>
    <w:p w14:paraId="1E5E343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By contrast, users subscribed to enterprise-level services—such as Office 365 Enterprise E3, which includes Outlook and related applications—benefit from Microsoft 365 Message Encryption. This feature enables senders to encrypt emails sent to recipients using </w:t>
      </w:r>
      <w:r>
        <w:rPr>
          <w:rFonts w:asciiTheme="majorBidi" w:eastAsia="Calibri" w:hAnsiTheme="majorBidi" w:cstheme="majorBidi"/>
          <w:color w:val="000000"/>
          <w:lang w:bidi="ar-AE"/>
        </w:rPr>
        <w:lastRenderedPageBreak/>
        <w:t>non-Microsoft email platforms, thereby providing a higher and more consistent level of security for sensitive communications.</w:t>
      </w:r>
      <w:r>
        <w:rPr>
          <w:rStyle w:val="FootnoteReference"/>
          <w:rFonts w:asciiTheme="majorBidi" w:eastAsia="Calibri" w:hAnsiTheme="majorBidi" w:cstheme="majorBidi"/>
          <w:color w:val="000000"/>
          <w:lang w:bidi="ar-AE"/>
        </w:rPr>
        <w:footnoteReference w:id="161"/>
      </w:r>
      <w:r>
        <w:rPr>
          <w:rFonts w:asciiTheme="majorBidi" w:eastAsia="Calibri" w:hAnsiTheme="majorBidi" w:cstheme="majorBidi"/>
          <w:color w:val="000000"/>
          <w:lang w:bidi="ar-AE"/>
        </w:rPr>
        <w:t>.</w:t>
      </w:r>
    </w:p>
    <w:p w14:paraId="1F050A1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Consequently, the use of free, web-based email services—such as Gmail, Hotmail, and Yahoo Mail—may expose users to a comparatively higher risk of unauthorised access to personal or confidential communications than the use of professional platforms such as Microsoft Outlook. This increased risk arises from differences in default security configurations, encryption consistency, and enterprise-level controls.</w:t>
      </w:r>
    </w:p>
    <w:p w14:paraId="1F615A2B"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When confidential or arbitration-related information is transmitted through such free email services, users may face a greater likelihood of security vulnerabilities, which in turn increases the risk of being held responsible for breaches of privacy or confidentiality obligations. By contrast, professionally managed email systems with enhanced encryption and access controls offer a more robust safeguard for sensitive arbitral communications and may better support compliance with confidentiality duties in international arbitration practice.</w:t>
      </w:r>
    </w:p>
    <w:p w14:paraId="74CCEB7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Style w:val="FootnoteReference"/>
          <w:rFonts w:asciiTheme="majorBidi" w:eastAsia="Calibri" w:hAnsiTheme="majorBidi" w:cstheme="majorBidi"/>
          <w:color w:val="000000"/>
          <w:lang w:bidi="ar-AE"/>
        </w:rPr>
        <w:footnoteReference w:id="162"/>
      </w:r>
      <w:r>
        <w:rPr>
          <w:rFonts w:asciiTheme="majorBidi" w:eastAsia="Calibri" w:hAnsiTheme="majorBidi" w:cstheme="majorBidi"/>
          <w:color w:val="000000"/>
          <w:lang w:bidi="ar-AE"/>
        </w:rPr>
        <w:t>.</w:t>
      </w:r>
    </w:p>
    <w:p w14:paraId="7472889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Notwithstanding the enhanced security features associated with professional email platforms such as </w:t>
      </w:r>
      <w:r>
        <w:rPr>
          <w:rFonts w:asciiTheme="majorBidi" w:eastAsia="Calibri" w:hAnsiTheme="majorBidi" w:cstheme="majorBidi"/>
          <w:b/>
          <w:bCs/>
          <w:color w:val="000000"/>
          <w:lang w:bidi="ar-AE"/>
        </w:rPr>
        <w:t>Microsoft Outlook</w:t>
      </w:r>
      <w:r>
        <w:rPr>
          <w:rFonts w:asciiTheme="majorBidi" w:eastAsia="Calibri" w:hAnsiTheme="majorBidi" w:cstheme="majorBidi"/>
          <w:color w:val="000000"/>
          <w:lang w:bidi="ar-AE"/>
        </w:rPr>
        <w:t>, it would be inaccurate to assume that communications transmitted through such systems are accessible exclusively to the parties involved in an arbitration. As a service provider, Microsoft retains the technical and legal capacity to access, review, and process private or confidential communications exchanged through its platforms, potentially without the prior consent of the users involved.</w:t>
      </w:r>
    </w:p>
    <w:p w14:paraId="68EE66E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This position is reflected in Microsoft’s Privacy Statement, which applies to its premium products and services, including Outlook. Under this framework, Microsoft reserves the right to collect and process user data for a range of purposes, relying on various legal bases such as user consent, the pursuit of legitimate interests, contractual necessity, and compliance with legal obligations. In practice, this means that data generated through Microsoft services may be processed as part of the company’s ordinary business operations, even in the absence of express, case-specific user authorisation.</w:t>
      </w:r>
    </w:p>
    <w:p w14:paraId="1CEEEE0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scope of data collection is extensive and encompasses emails and other digital content that users generate, transmit, receive, store, or manage through Outlook. This includes written, spoken, dictated, audio, and visual materials contained in emails, messages, calls, meeting invitations, and chat communications. As a result, users have limited control over how their communications are handled once they are transmitted via the Outlook system.</w:t>
      </w:r>
      <w:r>
        <w:rPr>
          <w:rFonts w:asciiTheme="majorBidi" w:eastAsia="Calibri" w:hAnsiTheme="majorBidi" w:cstheme="majorBidi"/>
        </w:rPr>
        <w:t xml:space="preserve"> </w:t>
      </w:r>
      <w:r>
        <w:rPr>
          <w:rStyle w:val="FootnoteReference"/>
          <w:rFonts w:asciiTheme="majorBidi" w:eastAsia="Calibri" w:hAnsiTheme="majorBidi" w:cstheme="majorBidi"/>
          <w:color w:val="000000"/>
          <w:lang w:bidi="ar-AE"/>
        </w:rPr>
        <w:footnoteReference w:id="163"/>
      </w:r>
      <w:r>
        <w:rPr>
          <w:rFonts w:asciiTheme="majorBidi" w:eastAsia="Calibri" w:hAnsiTheme="majorBidi" w:cstheme="majorBidi"/>
        </w:rPr>
        <w:t xml:space="preserve"> </w:t>
      </w:r>
    </w:p>
    <w:p w14:paraId="152F812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Microsoft expressly acknowledges that users may limit the collection of certain personal data in the interest of privacy. However, this option is subject to significant practical constraints. Where the provision of specific data is necessary for Microsoft to deliver a particular product or functionality, refusal to supply such data results in the inability to access or use that product or feature. This position is explicitly articulated in Microsoft’s Privacy Statement, which states that users who decline to provide data required for the operation of Microsoft’s services will be unable to utilise those services.</w:t>
      </w:r>
    </w:p>
    <w:p w14:paraId="5A7993F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Privacy Statement further clarifies that where the collection of personal data is legally required, or where such data is necessary for the formation or performance of a </w:t>
      </w:r>
      <w:r>
        <w:rPr>
          <w:rFonts w:asciiTheme="majorBidi" w:eastAsia="Calibri" w:hAnsiTheme="majorBidi" w:cstheme="majorBidi"/>
          <w:color w:val="000000"/>
          <w:lang w:bidi="ar-AE"/>
        </w:rPr>
        <w:lastRenderedPageBreak/>
        <w:t xml:space="preserve">contractual relationship, Microsoft cannot enter or fulfil that contract if the user withholds the required information. The practical implication of this framework is unambiguous: access to and use of </w:t>
      </w:r>
      <w:r>
        <w:rPr>
          <w:rFonts w:asciiTheme="majorBidi" w:eastAsia="Calibri" w:hAnsiTheme="majorBidi" w:cstheme="majorBidi"/>
          <w:b/>
          <w:bCs/>
          <w:color w:val="000000"/>
          <w:lang w:bidi="ar-AE"/>
        </w:rPr>
        <w:t>Microsoft Outlook</w:t>
      </w:r>
      <w:r>
        <w:rPr>
          <w:rFonts w:asciiTheme="majorBidi" w:eastAsia="Calibri" w:hAnsiTheme="majorBidi" w:cstheme="majorBidi"/>
          <w:color w:val="000000"/>
          <w:lang w:bidi="ar-AE"/>
        </w:rPr>
        <w:t xml:space="preserve"> is conditional upon the user’s acceptance of Microsoft’s data collection and processing practices.</w:t>
      </w:r>
    </w:p>
    <w:p w14:paraId="052F82A5"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Consequently, users who choose to communicate via Outlook necessarily consent to Microsoft’s collection and processing of data relating to the full content of their email communications. This includes communications that may contain sensitive, confidential, or arbitration-related information. In effect, by using Outlook, users submit the substance of their communications to Microsoft’s data governance regime, highlighting an inherent tension between reliance on third-party email platforms and the expectation of strict confidentiality in arbitration and other sensitive legal communications</w:t>
      </w:r>
      <w:r>
        <w:rPr>
          <w:rStyle w:val="FootnoteReference"/>
          <w:rFonts w:asciiTheme="majorBidi" w:eastAsia="Calibri" w:hAnsiTheme="majorBidi" w:cstheme="majorBidi"/>
          <w:color w:val="000000"/>
          <w:lang w:bidi="ar-AE"/>
        </w:rPr>
        <w:footnoteReference w:id="164"/>
      </w:r>
      <w:r>
        <w:rPr>
          <w:rFonts w:asciiTheme="majorBidi" w:eastAsia="Calibri" w:hAnsiTheme="majorBidi" w:cstheme="majorBidi"/>
          <w:color w:val="000000"/>
          <w:lang w:bidi="ar-AE"/>
        </w:rPr>
        <w:t xml:space="preserve"> </w:t>
      </w:r>
      <w:r>
        <w:rPr>
          <w:rStyle w:val="FootnoteReference"/>
          <w:rFonts w:asciiTheme="majorBidi" w:eastAsia="Calibri" w:hAnsiTheme="majorBidi" w:cstheme="majorBidi"/>
          <w:color w:val="000000"/>
          <w:lang w:bidi="ar-AE"/>
        </w:rPr>
        <w:footnoteReference w:id="165"/>
      </w:r>
      <w:r>
        <w:rPr>
          <w:rFonts w:asciiTheme="majorBidi" w:eastAsia="Calibri" w:hAnsiTheme="majorBidi" w:cstheme="majorBidi"/>
          <w:color w:val="000000"/>
          <w:lang w:bidi="ar-AE"/>
        </w:rPr>
        <w:t>.</w:t>
      </w:r>
    </w:p>
    <w:p w14:paraId="0AB3A1BA" w14:textId="77777777" w:rsidR="00F073C0" w:rsidRPr="008819FD" w:rsidRDefault="00F073C0" w:rsidP="00663759">
      <w:pPr>
        <w:numPr>
          <w:ilvl w:val="1"/>
          <w:numId w:val="14"/>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i/>
          <w:iCs/>
          <w:color w:val="000000"/>
          <w:lang w:bidi="ar-AE"/>
        </w:rPr>
        <w:t>Web-based email services</w:t>
      </w:r>
    </w:p>
    <w:p w14:paraId="28500F6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Users of </w:t>
      </w:r>
      <w:r>
        <w:rPr>
          <w:rFonts w:asciiTheme="majorBidi" w:eastAsia="Calibri" w:hAnsiTheme="majorBidi" w:cstheme="majorBidi"/>
          <w:b/>
          <w:bCs/>
          <w:color w:val="000000"/>
          <w:lang w:bidi="ar-AE"/>
        </w:rPr>
        <w:t>Gmail</w:t>
      </w:r>
      <w:r>
        <w:rPr>
          <w:rFonts w:asciiTheme="majorBidi" w:eastAsia="Calibri" w:hAnsiTheme="majorBidi" w:cstheme="majorBidi"/>
          <w:color w:val="000000"/>
          <w:lang w:bidi="ar-AE"/>
        </w:rPr>
        <w:t xml:space="preserve"> operate within a data-processing environment in which the content of their electronic communications is accessible to the service provider. According to the privacy framework of </w:t>
      </w:r>
      <w:r>
        <w:rPr>
          <w:rFonts w:asciiTheme="majorBidi" w:eastAsia="Calibri" w:hAnsiTheme="majorBidi" w:cstheme="majorBidi"/>
          <w:b/>
          <w:bCs/>
          <w:color w:val="000000"/>
          <w:lang w:bidi="ar-AE"/>
        </w:rPr>
        <w:t>Google</w:t>
      </w:r>
      <w:r>
        <w:rPr>
          <w:rFonts w:asciiTheme="majorBidi" w:eastAsia="Calibri" w:hAnsiTheme="majorBidi" w:cstheme="majorBidi"/>
          <w:color w:val="000000"/>
          <w:lang w:bidi="ar-AE"/>
        </w:rPr>
        <w:t xml:space="preserve">, the company collects and processes information generated by users through its services, including the content of emails created, received, uploaded, or stored on the platform. This data is processed for multiple purposes, including the operation, maintenance, and improvement of existing services, the development of new products and functionalities, the personalisation of user experiences, and the assessment of service performance. In addition, such information may be used to communicate with users and to </w:t>
      </w:r>
      <w:r>
        <w:rPr>
          <w:rFonts w:asciiTheme="majorBidi" w:eastAsia="Calibri" w:hAnsiTheme="majorBidi" w:cstheme="majorBidi"/>
          <w:color w:val="000000"/>
          <w:lang w:bidi="ar-AE"/>
        </w:rPr>
        <w:lastRenderedPageBreak/>
        <w:t>support security objectives, including the protection of Google, its users, and the wider public.</w:t>
      </w:r>
      <w:r>
        <w:rPr>
          <w:rStyle w:val="FootnoteReference"/>
          <w:rFonts w:asciiTheme="majorBidi" w:eastAsia="Calibri" w:hAnsiTheme="majorBidi" w:cstheme="majorBidi"/>
          <w:color w:val="000000"/>
          <w:lang w:bidi="ar-AE"/>
        </w:rPr>
        <w:footnoteReference w:id="166"/>
      </w:r>
    </w:p>
    <w:p w14:paraId="226A8F3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Although </w:t>
      </w:r>
      <w:r>
        <w:rPr>
          <w:rFonts w:asciiTheme="majorBidi" w:eastAsia="Calibri" w:hAnsiTheme="majorBidi" w:cstheme="majorBidi"/>
          <w:b/>
          <w:bCs/>
          <w:color w:val="000000"/>
          <w:lang w:bidi="ar-AE"/>
        </w:rPr>
        <w:t>Google</w:t>
      </w:r>
      <w:r>
        <w:rPr>
          <w:rFonts w:asciiTheme="majorBidi" w:eastAsia="Calibri" w:hAnsiTheme="majorBidi" w:cstheme="majorBidi"/>
          <w:color w:val="000000"/>
          <w:lang w:bidi="ar-AE"/>
        </w:rPr>
        <w:t xml:space="preserve"> asserts that users retain a degree of control over the way their personal data is processed, this control is subject to important limitations. Google’s privacy framework makes clear that the company reserves the right to disclose users’ personal information—including data associated with a Google Account such as usernames, email addresses, and authentication credentials—to third parties where it believes, in good faith, that such disclosure is reasonably necessary.</w:t>
      </w:r>
    </w:p>
    <w:p w14:paraId="6D04494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Such disclosures may occur for purposes including the protection of Google’s legal rights, the safeguarding of its property and services, the protection of its users, or the advancement of broader public safety interests. This discretionary standard introduces a level of uncertainty for users, particularly those engaged in sensitive legal communications, as it permits third-party access to personal and potentially confidential information beyond the direct control of the user</w:t>
      </w:r>
      <w:r>
        <w:rPr>
          <w:rStyle w:val="FootnoteReference"/>
          <w:rFonts w:asciiTheme="majorBidi" w:eastAsia="Calibri" w:hAnsiTheme="majorBidi" w:cstheme="majorBidi"/>
          <w:color w:val="000000"/>
          <w:lang w:bidi="ar-AE"/>
        </w:rPr>
        <w:footnoteReference w:id="167"/>
      </w:r>
      <w:r>
        <w:rPr>
          <w:rFonts w:asciiTheme="majorBidi" w:eastAsia="Calibri" w:hAnsiTheme="majorBidi" w:cstheme="majorBidi"/>
          <w:color w:val="000000"/>
          <w:lang w:bidi="ar-AE"/>
        </w:rPr>
        <w:t xml:space="preserve">. </w:t>
      </w:r>
    </w:p>
    <w:p w14:paraId="587C1A02"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Microsoft’s Privacy Statement confers wide discretion on the company to process user communications transmitted through </w:t>
      </w:r>
      <w:r>
        <w:rPr>
          <w:rFonts w:asciiTheme="majorBidi" w:eastAsia="Calibri" w:hAnsiTheme="majorBidi" w:cstheme="majorBidi"/>
          <w:b/>
          <w:bCs/>
          <w:color w:val="000000"/>
          <w:lang w:bidi="ar-AE"/>
        </w:rPr>
        <w:t>Outlook.com</w:t>
      </w:r>
      <w:r>
        <w:rPr>
          <w:rFonts w:asciiTheme="majorBidi" w:eastAsia="Calibri" w:hAnsiTheme="majorBidi" w:cstheme="majorBidi"/>
          <w:color w:val="000000"/>
          <w:lang w:bidi="ar-AE"/>
        </w:rPr>
        <w:t>. Microsoft reserves the right to retain, access, transfer, disclose, and preserve personal data, including user-generated content such as the substance of emails exchanged via the platform.</w:t>
      </w:r>
    </w:p>
    <w:p w14:paraId="2BFEAA4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Privacy Statement further clarifies that such actions may be undertaken where Microsoft, acting in good faith, considers them necessary to comply with applicable laws or </w:t>
      </w:r>
      <w:r>
        <w:rPr>
          <w:rFonts w:asciiTheme="majorBidi" w:eastAsia="Calibri" w:hAnsiTheme="majorBidi" w:cstheme="majorBidi"/>
          <w:color w:val="000000"/>
          <w:lang w:bidi="ar-AE"/>
        </w:rPr>
        <w:lastRenderedPageBreak/>
        <w:t>lawful requests, to protect users, to ensure the operation and maintenance of its services, or to safeguard its legal rights and proprietary interests. From the perspective of arbitration confidentiality, this expansive authority underscores the extent to which third-party service providers may legitimately access or process sensitive communications, even when those communications are intended to remain private between arbitral parties.</w:t>
      </w:r>
      <w:r>
        <w:rPr>
          <w:rStyle w:val="FootnoteReference"/>
          <w:rFonts w:asciiTheme="majorBidi" w:eastAsia="Calibri" w:hAnsiTheme="majorBidi" w:cstheme="majorBidi"/>
          <w:color w:val="000000"/>
          <w:lang w:bidi="ar-AE"/>
        </w:rPr>
        <w:footnoteReference w:id="168"/>
      </w:r>
    </w:p>
    <w:p w14:paraId="63D625D3"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Thus, as in the case of Gmail and Google, Microsoft may take advantage of emails in Outlook.com for the protection of its interests and the provision of its services.</w:t>
      </w:r>
    </w:p>
    <w:p w14:paraId="297601EB" w14:textId="77777777" w:rsidR="00F073C0" w:rsidRPr="008819FD" w:rsidRDefault="00F073C0" w:rsidP="00663759">
      <w:pPr>
        <w:numPr>
          <w:ilvl w:val="1"/>
          <w:numId w:val="14"/>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i/>
          <w:iCs/>
          <w:color w:val="000000"/>
          <w:lang w:bidi="ar-AE"/>
        </w:rPr>
        <w:t>Arbitration rules and guidelines on the use of emails</w:t>
      </w:r>
    </w:p>
    <w:p w14:paraId="2F346E4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Email is the norm in communications for international commercial arbitration, partly because arbitration institutions prompt their clients to contact them by email. However, arbitration associations have made efforts to raise awareness among arbitration users of the vulnerability of emails to third-party data breaches. For example, the Chartered Institute of Arbitrators (CIArb) discourages the communication of sensitive data by email, emphasizing its insecurity and vulnerability to cyberattacks</w:t>
      </w:r>
      <w:r>
        <w:rPr>
          <w:rStyle w:val="FootnoteReference"/>
          <w:rFonts w:asciiTheme="majorBidi" w:eastAsia="Calibri" w:hAnsiTheme="majorBidi" w:cstheme="majorBidi"/>
          <w:color w:val="000000"/>
          <w:lang w:bidi="ar-AE"/>
        </w:rPr>
        <w:footnoteReference w:id="169"/>
      </w:r>
      <w:r>
        <w:rPr>
          <w:rFonts w:asciiTheme="majorBidi" w:eastAsia="Calibri" w:hAnsiTheme="majorBidi" w:cstheme="majorBidi"/>
          <w:color w:val="000000"/>
          <w:lang w:bidi="ar-AE"/>
        </w:rPr>
        <w:t>.</w:t>
      </w:r>
    </w:p>
    <w:p w14:paraId="0977BF2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potential risks in sharing this data via emails have been considered by all four arbitration organisations; that is why they recommend using passwords and encryption to protect the email exchanged information. The same organisations have also suggested taking some specific safety measures. For example, ICCA, NYC Bar, and CPR recommended that parties to an arbitration should restrict their use of sending emails containing confidential or sensitive information attached thereto through the email system (unless the email is end-to-end </w:t>
      </w:r>
      <w:r>
        <w:rPr>
          <w:rFonts w:asciiTheme="majorBidi" w:eastAsia="Calibri" w:hAnsiTheme="majorBidi" w:cstheme="majorBidi"/>
          <w:color w:val="000000"/>
          <w:lang w:bidi="ar-AE"/>
        </w:rPr>
        <w:lastRenderedPageBreak/>
        <w:t xml:space="preserve">encrypted) and that the attachments sent via emails should be protected with a password, and the password for these attachments should be communicated separately to the recipient, e.g., through SMS or voice mail. These recommendations were made by arbitration organisations to prevent possible breach of security of the email communications and maintain confidentiality of arbitration procedures </w:t>
      </w:r>
      <w:r>
        <w:rPr>
          <w:rStyle w:val="FootnoteReference"/>
          <w:rFonts w:asciiTheme="majorBidi" w:eastAsia="Calibri" w:hAnsiTheme="majorBidi" w:cstheme="majorBidi"/>
          <w:color w:val="000000"/>
          <w:lang w:bidi="ar-AE"/>
        </w:rPr>
        <w:footnoteReference w:id="170"/>
      </w:r>
      <w:r>
        <w:rPr>
          <w:rFonts w:asciiTheme="majorBidi" w:eastAsia="Calibri" w:hAnsiTheme="majorBidi" w:cstheme="majorBidi"/>
          <w:color w:val="000000"/>
          <w:lang w:bidi="ar-AE"/>
        </w:rPr>
        <w:t>.</w:t>
      </w:r>
    </w:p>
    <w:p w14:paraId="51ED5D2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addition, they don't address whether these communications could possibly be used to violate the confidentiality and privacy of international commercial arbitration when email service providers receive the ability to see a user's emails about arbitral proceedings inside of their mailbox. Clearly end-to-end encryption and encrypting email as it is sent or received will prevent any third party (such as an email service provider) from viewing a message as it travels across different devices; however, it will not encrypt messages that are sitting on your device while you are waiting to send them</w:t>
      </w:r>
      <w:r>
        <w:rPr>
          <w:rStyle w:val="FootnoteReference"/>
          <w:rFonts w:asciiTheme="majorBidi" w:eastAsia="Calibri" w:hAnsiTheme="majorBidi" w:cstheme="majorBidi"/>
          <w:color w:val="000000"/>
          <w:lang w:bidi="ar-AE"/>
        </w:rPr>
        <w:footnoteReference w:id="171"/>
      </w:r>
      <w:r>
        <w:rPr>
          <w:rFonts w:asciiTheme="majorBidi" w:eastAsia="Calibri" w:hAnsiTheme="majorBidi" w:cstheme="majorBidi"/>
          <w:color w:val="000000"/>
          <w:lang w:bidi="ar-AE"/>
        </w:rPr>
        <w:t>.</w:t>
      </w:r>
    </w:p>
    <w:p w14:paraId="1A1BE2DC"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Therefore, service providers may view the arbitration-related messages sent via e-mail in the user's mailbox as belonging to them, since they have the legal right to access all information posted by users on their platform through their contracts with said users. It seems that the use of email services by users may result in additional risks to the users. This risk is the potential for the service providers to use the users' e-mails against them if the two become involved in a dispute. Since most arbitration tribunals allow the use of any materials they obtain lawfully as evidence (even if the materials were obtained illegally), it is possible that the users will lose the case and will have no recourse. Therefore, users who use email services </w:t>
      </w:r>
      <w:r>
        <w:rPr>
          <w:rFonts w:asciiTheme="majorBidi" w:eastAsia="Calibri" w:hAnsiTheme="majorBidi" w:cstheme="majorBidi"/>
          <w:color w:val="000000"/>
          <w:lang w:bidi="ar-AE"/>
        </w:rPr>
        <w:lastRenderedPageBreak/>
        <w:t xml:space="preserve">as part of their normal day-to-day operations should not rely on the concepts of confidentiality and privacy traditionally used in arbitration to protect themselves from this type of exposure </w:t>
      </w:r>
      <w:r>
        <w:rPr>
          <w:rStyle w:val="FootnoteReference"/>
          <w:rFonts w:asciiTheme="majorBidi" w:eastAsia="Calibri" w:hAnsiTheme="majorBidi" w:cstheme="majorBidi"/>
          <w:color w:val="000000"/>
          <w:lang w:bidi="ar-AE"/>
        </w:rPr>
        <w:footnoteReference w:id="172"/>
      </w:r>
      <w:r>
        <w:rPr>
          <w:rFonts w:asciiTheme="majorBidi" w:eastAsia="Calibri" w:hAnsiTheme="majorBidi" w:cstheme="majorBidi"/>
          <w:color w:val="000000"/>
          <w:lang w:bidi="ar-AE"/>
        </w:rPr>
        <w:t>.</w:t>
      </w:r>
    </w:p>
    <w:p w14:paraId="3ADADA27" w14:textId="77777777" w:rsidR="00F073C0" w:rsidRPr="008819FD" w:rsidRDefault="00061625" w:rsidP="009F5ACD">
      <w:pPr>
        <w:pStyle w:val="Heading3"/>
        <w:rPr>
          <w:rFonts w:asciiTheme="majorBidi" w:hAnsiTheme="majorBidi" w:cstheme="majorBidi"/>
          <w:lang w:bidi="ar-AE"/>
        </w:rPr>
      </w:pPr>
      <w:bookmarkStart w:id="87" w:name="_Toc190813283"/>
      <w:bookmarkStart w:id="88" w:name="_Toc209626927"/>
      <w:bookmarkStart w:id="89" w:name="_Toc217491564"/>
      <w:bookmarkStart w:id="90" w:name="_Toc221804514"/>
      <w:r>
        <w:rPr>
          <w:rFonts w:asciiTheme="majorBidi" w:hAnsiTheme="majorBidi" w:cstheme="majorBidi"/>
          <w:lang w:bidi="ar-AE"/>
        </w:rPr>
        <w:t>2.4.2 Cloud storage</w:t>
      </w:r>
      <w:bookmarkEnd w:id="87"/>
      <w:bookmarkEnd w:id="88"/>
      <w:bookmarkEnd w:id="89"/>
      <w:bookmarkEnd w:id="90"/>
    </w:p>
    <w:p w14:paraId="78EFE7E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As arbitration is document-intensive, arbitration institutions are encouraged to offer document repositories as backbones for filing and servicing documents and evidence. Several institutions offer digital case and document management systems that are tailor-made for their arbitration-related businesses and services.</w:t>
      </w:r>
      <w:r>
        <w:rPr>
          <w:rFonts w:asciiTheme="majorBidi" w:eastAsia="Calibri" w:hAnsiTheme="majorBidi" w:cstheme="majorBidi"/>
        </w:rPr>
        <w:t xml:space="preserve"> </w:t>
      </w:r>
      <w:r>
        <w:rPr>
          <w:rFonts w:asciiTheme="majorBidi" w:eastAsia="Calibri" w:hAnsiTheme="majorBidi" w:cstheme="majorBidi"/>
          <w:color w:val="000000"/>
          <w:lang w:bidi="ar-AE"/>
        </w:rPr>
        <w:t>The SCC has a secure digital platform, the SCC Platform, for communication and file sharing among the SCC, disputing, and other parties, and the tribunal. These arbitration participants also ordinarily file all case materials for the arbitration on this platform. However, it is not discernible if this tool was wholly insourced</w:t>
      </w:r>
      <w:r>
        <w:rPr>
          <w:rStyle w:val="FootnoteReference"/>
          <w:rFonts w:asciiTheme="majorBidi" w:eastAsia="Calibri" w:hAnsiTheme="majorBidi" w:cstheme="majorBidi"/>
          <w:color w:val="000000"/>
          <w:lang w:bidi="ar-AE"/>
        </w:rPr>
        <w:footnoteReference w:id="173"/>
      </w:r>
      <w:r>
        <w:rPr>
          <w:rFonts w:asciiTheme="majorBidi" w:eastAsia="Calibri" w:hAnsiTheme="majorBidi" w:cstheme="majorBidi"/>
          <w:color w:val="000000"/>
          <w:lang w:bidi="ar-AE"/>
        </w:rPr>
        <w:t>. However, some leading arbitration institutions, ICC, SIAC, HKIAC, LCIA, and CIETAC, seem disinclined to develop or promote equivalent systems. For instance, a senior international arbitrator who has conducted arbitration proceedings with these institutions responded to a question in an interview conducted by the first author that he had never been reminded by the organisations of the availability of such systems</w:t>
      </w:r>
      <w:r>
        <w:rPr>
          <w:rStyle w:val="FootnoteReference"/>
          <w:rFonts w:asciiTheme="majorBidi" w:eastAsia="Calibri" w:hAnsiTheme="majorBidi" w:cstheme="majorBidi"/>
          <w:color w:val="000000"/>
          <w:lang w:bidi="ar-AE"/>
        </w:rPr>
        <w:footnoteReference w:id="174"/>
      </w:r>
      <w:r>
        <w:rPr>
          <w:rFonts w:asciiTheme="majorBidi" w:eastAsia="Calibri" w:hAnsiTheme="majorBidi" w:cstheme="majorBidi"/>
          <w:color w:val="000000"/>
          <w:lang w:bidi="ar-AE"/>
        </w:rPr>
        <w:t>.</w:t>
      </w:r>
      <w:r>
        <w:rPr>
          <w:rFonts w:asciiTheme="majorBidi" w:eastAsia="Calibri" w:hAnsiTheme="majorBidi" w:cstheme="majorBidi"/>
        </w:rPr>
        <w:t xml:space="preserve"> </w:t>
      </w:r>
      <w:r>
        <w:rPr>
          <w:rFonts w:asciiTheme="majorBidi" w:eastAsia="Calibri" w:hAnsiTheme="majorBidi" w:cstheme="majorBidi"/>
          <w:color w:val="000000"/>
          <w:lang w:bidi="ar-AE"/>
        </w:rPr>
        <w:t>This is even though the LCIA developed several years ago a centralized online filing portal system—LCIA Online Filing. Moreover, the ICC launched in 2005 an electronic document management platform, Net Case, but the ICC ceased to operate this program due to its unpopularity among legal practitioners</w:t>
      </w:r>
      <w:r>
        <w:rPr>
          <w:rStyle w:val="FootnoteReference"/>
          <w:rFonts w:asciiTheme="majorBidi" w:eastAsia="Calibri" w:hAnsiTheme="majorBidi" w:cstheme="majorBidi"/>
          <w:color w:val="000000"/>
          <w:lang w:bidi="ar-AE"/>
        </w:rPr>
        <w:footnoteReference w:id="175"/>
      </w:r>
      <w:r>
        <w:rPr>
          <w:rFonts w:asciiTheme="majorBidi" w:eastAsia="Calibri" w:hAnsiTheme="majorBidi" w:cstheme="majorBidi"/>
          <w:color w:val="000000"/>
          <w:lang w:bidi="ar-AE"/>
        </w:rPr>
        <w:t>.</w:t>
      </w:r>
    </w:p>
    <w:p w14:paraId="26A06BA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Thus, it remains to be seen whether these arbitration institutions intend to increase investment in in-house online document management systems to replace external service providers. Considering the underdevelopment of online platforms by arbitration institutions at this time, it is anticipated that participants in arbitration proceedings will continue to rely on cloud-based document management services provided by third-party developers.  As mentioned above, the majority (56 per cent) of those who were involved in the 2021 Arbitration Survey reported their frequent or consistent use of cloud-based storage. In the same survey, 80 per cent of respondents stated that they had used or should use cloud-based platforms to protect the confidentiality and security of electronic or electronically submitted data in international arbitration.</w:t>
      </w:r>
      <w:r>
        <w:rPr>
          <w:rStyle w:val="FootnoteReference"/>
          <w:rFonts w:asciiTheme="majorBidi" w:eastAsia="Calibri" w:hAnsiTheme="majorBidi" w:cstheme="majorBidi"/>
          <w:color w:val="000000"/>
          <w:lang w:bidi="ar-AE"/>
        </w:rPr>
        <w:footnoteReference w:id="176"/>
      </w:r>
      <w:r>
        <w:rPr>
          <w:rFonts w:asciiTheme="majorBidi" w:eastAsia="Calibri" w:hAnsiTheme="majorBidi" w:cstheme="majorBidi"/>
          <w:color w:val="000000"/>
          <w:lang w:bidi="ar-AE"/>
        </w:rPr>
        <w:t>.</w:t>
      </w:r>
    </w:p>
    <w:p w14:paraId="734F8EE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Moreover, 84.78 per cent of participants in a pre-COVID survey opined that they would use ‘Dropbox or other secured cloud-based file-sharing services’ for arbitral proceedings, if offered by arbitration institutions. Furthermore, the ICCA, NYC Bar, and CPR suggest that ‘[t]hird party cloud storage can provide better security than an individual practitioner or small organisation can reasonably provide on its own’. Thus, the following subsections consider third-party cloud storage services like Dropbox, OneDrive, and Google Drive, taking into account relevant arbitration rules and guidelines.</w:t>
      </w:r>
      <w:r>
        <w:rPr>
          <w:rStyle w:val="FootnoteReference"/>
          <w:rFonts w:asciiTheme="majorBidi" w:eastAsia="Calibri" w:hAnsiTheme="majorBidi" w:cstheme="majorBidi"/>
          <w:color w:val="000000"/>
          <w:lang w:bidi="ar-AE"/>
        </w:rPr>
        <w:footnoteReference w:id="177"/>
      </w:r>
      <w:r>
        <w:rPr>
          <w:rFonts w:asciiTheme="majorBidi" w:eastAsia="Calibri" w:hAnsiTheme="majorBidi" w:cstheme="majorBidi"/>
          <w:color w:val="000000"/>
          <w:lang w:bidi="ar-AE"/>
        </w:rPr>
        <w:t>.</w:t>
      </w:r>
    </w:p>
    <w:p w14:paraId="4E2A49ED" w14:textId="77777777" w:rsidR="00F073C0" w:rsidRPr="008819FD" w:rsidRDefault="00F073C0" w:rsidP="00663759">
      <w:pPr>
        <w:numPr>
          <w:ilvl w:val="1"/>
          <w:numId w:val="10"/>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i/>
          <w:iCs/>
          <w:color w:val="000000"/>
          <w:lang w:bidi="ar-AE"/>
        </w:rPr>
        <w:t>Third-party cloud storage</w:t>
      </w:r>
    </w:p>
    <w:p w14:paraId="4762D57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Dropbox—operated by the US company Dropbox, Inc.—stipulates in its Privacy Policy how the company collects, uses, and handles the personal data of customers stored in the file hosting service.  Dropbox points out elsewhere that it has the flexibility to utilise and </w:t>
      </w:r>
      <w:r>
        <w:rPr>
          <w:rFonts w:asciiTheme="majorBidi" w:eastAsia="Calibri" w:hAnsiTheme="majorBidi" w:cstheme="majorBidi"/>
          <w:color w:val="000000"/>
          <w:lang w:bidi="ar-AE"/>
        </w:rPr>
        <w:lastRenderedPageBreak/>
        <w:t>share the data for its business management.  For instance, its Privacy Policy states that: ‘[w]e … collect and use personal data for our legitimate business needs. To the extent that we process your personal</w:t>
      </w:r>
    </w:p>
    <w:p w14:paraId="35A37A24"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data for other purposes, we ask for your consent in advance or require our partners to obtain such consent. Phrased differently, Dropbox may use personal data for business purposes without permission from the users. Moreover, Dropbox may share that personal information with other third parties, such as ‘others working for and with Dropbox’, ‘other Dropbox Companies’, ‘other users’, and any other third parties, as required by the applicable law or for the protection of Dropbox’s rights. In extending its services to Dropbox Business customers subscribing to its premium plan, Dropbox states that a party may disclose confidential information to its employees, advisors, and consultants who have a need to know the confidential information, if that employee, advisor, or consultant is bound to restrictions at least as protective of the other party’s confidential information.</w:t>
      </w:r>
      <w:r>
        <w:rPr>
          <w:rStyle w:val="FootnoteReference"/>
          <w:rFonts w:asciiTheme="majorBidi" w:eastAsia="Calibri" w:hAnsiTheme="majorBidi" w:cstheme="majorBidi"/>
          <w:color w:val="000000"/>
          <w:lang w:bidi="ar-AE"/>
        </w:rPr>
        <w:footnoteReference w:id="178"/>
      </w:r>
      <w:r>
        <w:rPr>
          <w:rFonts w:asciiTheme="majorBidi" w:eastAsia="Calibri" w:hAnsiTheme="majorBidi" w:cstheme="majorBidi"/>
          <w:color w:val="000000"/>
          <w:lang w:bidi="ar-AE"/>
        </w:rPr>
        <w:t>.</w:t>
      </w:r>
    </w:p>
    <w:p w14:paraId="5B9176F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Therefore, storing the private and confidential data of arbitration parties or proceedings in Dropbox, in the worst-case scenario, enables the service provider and its stakeholders to exploit electronic information. Other cloud storage services take similar approaches to the control of personal data. The Microsoft Privacy Statement applies to OneDrive, which means that, for customers to use the service, they agree to Microsoft determining when to share their private information in accordance with its Privacy Policy</w:t>
      </w:r>
      <w:r>
        <w:rPr>
          <w:rStyle w:val="FootnoteReference"/>
          <w:rFonts w:asciiTheme="majorBidi" w:eastAsia="Calibri" w:hAnsiTheme="majorBidi" w:cstheme="majorBidi"/>
          <w:color w:val="000000"/>
          <w:lang w:bidi="ar-AE"/>
        </w:rPr>
        <w:footnoteReference w:id="179"/>
      </w:r>
      <w:r>
        <w:rPr>
          <w:rFonts w:asciiTheme="majorBidi" w:eastAsia="Calibri" w:hAnsiTheme="majorBidi" w:cstheme="majorBidi"/>
          <w:color w:val="000000"/>
          <w:lang w:bidi="ar-AE"/>
        </w:rPr>
        <w:t xml:space="preserve">.  </w:t>
      </w:r>
    </w:p>
    <w:p w14:paraId="768EC5C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i/>
          <w:iCs/>
          <w:color w:val="000000"/>
          <w:lang w:bidi="ar-AE"/>
        </w:rPr>
      </w:pPr>
      <w:r>
        <w:rPr>
          <w:rFonts w:asciiTheme="majorBidi" w:eastAsia="Calibri" w:hAnsiTheme="majorBidi" w:cstheme="majorBidi"/>
          <w:color w:val="000000"/>
          <w:lang w:bidi="ar-AE"/>
        </w:rPr>
        <w:lastRenderedPageBreak/>
        <w:t>Google Drive Terms of Service (TOS) states that Google will not share clients’ files and data with third parties except as described in [its] Privacy Policy, although this Policy allows Google to share personal information with outside agencies, for the protection of its rights and property.  Therefore, arbitration participants cannot enjoy the convenience of third-party cloud storage without enabling the provider of the service, its employees, and business affiliates to benefit from confidential and private data kept in that storage.</w:t>
      </w:r>
    </w:p>
    <w:p w14:paraId="5E46B637" w14:textId="77777777" w:rsidR="00F073C0" w:rsidRPr="008819FD" w:rsidRDefault="00F073C0" w:rsidP="00663759">
      <w:pPr>
        <w:numPr>
          <w:ilvl w:val="1"/>
          <w:numId w:val="10"/>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i/>
          <w:iCs/>
          <w:color w:val="000000"/>
          <w:lang w:bidi="ar-AE"/>
        </w:rPr>
        <w:t>Arbitration rules and guidelines on the use of cloud storage</w:t>
      </w:r>
    </w:p>
    <w:p w14:paraId="59C9421B"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It is uncertain how arbitration institutions and associations perceive third-party cloud service providers’ involvement in arbitration proceedings. No discernible arbitration rules of the ICC, SIAC, HKIAC, LCIA, and CIETAC address this issue. The guidelines of arbitration associations urge arbitration practitioners to be wary of the security of cloud storage against hacking. However, they do not touch upon the implications of such service providers abusing their access to confidential and private information disclosed in arbitration proceedings.</w:t>
      </w:r>
      <w:r>
        <w:rPr>
          <w:rStyle w:val="FootnoteReference"/>
          <w:rFonts w:asciiTheme="majorBidi" w:eastAsia="Calibri" w:hAnsiTheme="majorBidi" w:cstheme="majorBidi"/>
          <w:color w:val="000000"/>
          <w:lang w:bidi="ar-AE"/>
        </w:rPr>
        <w:footnoteReference w:id="180"/>
      </w:r>
      <w:r>
        <w:rPr>
          <w:rFonts w:asciiTheme="majorBidi" w:eastAsia="Calibri" w:hAnsiTheme="majorBidi" w:cstheme="majorBidi"/>
          <w:color w:val="000000"/>
          <w:lang w:bidi="ar-AE"/>
        </w:rPr>
        <w:t>. What has likely triggered this paucity of discussion among arbitration institutions/associations is the extensive debate on the use of cloud storage by law societies around the world</w:t>
      </w:r>
      <w:r>
        <w:rPr>
          <w:rStyle w:val="FootnoteReference"/>
          <w:rFonts w:asciiTheme="majorBidi" w:eastAsia="Calibri" w:hAnsiTheme="majorBidi" w:cstheme="majorBidi"/>
          <w:color w:val="000000"/>
          <w:lang w:bidi="ar-AE"/>
        </w:rPr>
        <w:footnoteReference w:id="181"/>
      </w:r>
      <w:r>
        <w:rPr>
          <w:rFonts w:asciiTheme="majorBidi" w:eastAsia="Calibri" w:hAnsiTheme="majorBidi" w:cstheme="majorBidi"/>
          <w:color w:val="000000"/>
          <w:lang w:bidi="ar-AE"/>
        </w:rPr>
        <w:t>. Cohen and Morril point out that: Numerous lawyer ethics opinions have considered whether the use of cloud services is compatible with an attorney’s obligation to maintain confidentiality. The decisions generally have concluded that lawyers may use the services if they take reasonable steps to select a reliable vendor, implement available security, and address the potential risks.</w:t>
      </w:r>
      <w:r>
        <w:rPr>
          <w:rFonts w:asciiTheme="majorBidi" w:eastAsia="Calibri" w:hAnsiTheme="majorBidi" w:cstheme="majorBidi"/>
        </w:rPr>
        <w:t xml:space="preserve"> </w:t>
      </w:r>
      <w:r>
        <w:rPr>
          <w:rStyle w:val="FootnoteReference"/>
          <w:rFonts w:asciiTheme="majorBidi" w:eastAsia="Calibri" w:hAnsiTheme="majorBidi" w:cstheme="majorBidi"/>
          <w:color w:val="000000"/>
          <w:lang w:bidi="ar-AE"/>
        </w:rPr>
        <w:lastRenderedPageBreak/>
        <w:footnoteReference w:id="182"/>
      </w:r>
      <w:r>
        <w:rPr>
          <w:rFonts w:asciiTheme="majorBidi" w:eastAsia="Calibri" w:hAnsiTheme="majorBidi" w:cstheme="majorBidi"/>
          <w:color w:val="000000"/>
          <w:lang w:bidi="ar-AE"/>
        </w:rPr>
        <w:t>However, not all individuals involved in arbitration proceedings comply with such ethics statements.</w:t>
      </w:r>
    </w:p>
    <w:p w14:paraId="18F9F5C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Even though lawyers dominate key groups and publication outlets for international commercial arbitration,  other professionals who lack legal backgrounds serve as arbitrators, witnesses, experts, and interpreters.108 Moreover, dominant vendors—Dropbox, Microsoft, and Google—have declared in their privacy statements that space in their cloud storage is the </w:t>
      </w:r>
      <w:r>
        <w:rPr>
          <w:rFonts w:asciiTheme="majorBidi" w:eastAsia="Calibri" w:hAnsiTheme="majorBidi" w:cstheme="majorBidi"/>
          <w:i/>
          <w:iCs/>
          <w:color w:val="000000"/>
          <w:lang w:bidi="ar-AE"/>
        </w:rPr>
        <w:t xml:space="preserve">quid pro quo </w:t>
      </w:r>
      <w:r>
        <w:rPr>
          <w:rFonts w:asciiTheme="majorBidi" w:eastAsia="Calibri" w:hAnsiTheme="majorBidi" w:cstheme="majorBidi"/>
          <w:color w:val="000000"/>
          <w:lang w:bidi="ar-AE"/>
        </w:rPr>
        <w:t>for permitting those vendors to access and share the stored data and relevant personal information for their business operations</w:t>
      </w:r>
      <w:r>
        <w:rPr>
          <w:rStyle w:val="FootnoteReference"/>
          <w:rFonts w:asciiTheme="majorBidi" w:eastAsia="Calibri" w:hAnsiTheme="majorBidi" w:cstheme="majorBidi"/>
          <w:color w:val="000000"/>
          <w:lang w:bidi="ar-AE"/>
        </w:rPr>
        <w:footnoteReference w:id="183"/>
      </w:r>
      <w:r>
        <w:rPr>
          <w:rFonts w:asciiTheme="majorBidi" w:eastAsia="Calibri" w:hAnsiTheme="majorBidi" w:cstheme="majorBidi"/>
          <w:color w:val="000000"/>
          <w:lang w:bidi="ar-AE"/>
        </w:rPr>
        <w:t>.</w:t>
      </w:r>
    </w:p>
    <w:p w14:paraId="4855AED3" w14:textId="77777777" w:rsidR="00F073C0" w:rsidRPr="008819FD" w:rsidRDefault="00F073C0" w:rsidP="00663759">
      <w:pPr>
        <w:shd w:val="clear" w:color="auto" w:fill="FFFFFF"/>
        <w:spacing w:line="480" w:lineRule="auto"/>
        <w:ind w:firstLine="720"/>
        <w:rPr>
          <w:rFonts w:asciiTheme="majorBidi" w:eastAsia="Calibri" w:hAnsiTheme="majorBidi" w:cstheme="majorBidi"/>
          <w:b/>
          <w:bCs/>
          <w:color w:val="000000"/>
          <w:lang w:bidi="ar-AE"/>
        </w:rPr>
      </w:pPr>
      <w:r>
        <w:rPr>
          <w:rFonts w:asciiTheme="majorBidi" w:eastAsia="Calibri" w:hAnsiTheme="majorBidi" w:cstheme="majorBidi"/>
          <w:color w:val="000000"/>
          <w:lang w:bidi="ar-AE"/>
        </w:rPr>
        <w:t xml:space="preserve"> Therefore, the tension between cloud services and confidentiality/privacy operates largely outside the radar of arbitration stakeholders.</w:t>
      </w:r>
    </w:p>
    <w:p w14:paraId="1A20B9F5" w14:textId="77777777" w:rsidR="00F073C0" w:rsidRPr="008819FD" w:rsidRDefault="00061625" w:rsidP="009F5ACD">
      <w:pPr>
        <w:pStyle w:val="Heading3"/>
        <w:rPr>
          <w:rFonts w:asciiTheme="majorBidi" w:hAnsiTheme="majorBidi" w:cstheme="majorBidi"/>
          <w:lang w:bidi="ar-AE"/>
        </w:rPr>
      </w:pPr>
      <w:bookmarkStart w:id="91" w:name="_Toc190813284"/>
      <w:bookmarkStart w:id="92" w:name="_Toc209626928"/>
      <w:bookmarkStart w:id="93" w:name="_Toc217491565"/>
      <w:bookmarkStart w:id="94" w:name="_Toc221804515"/>
      <w:r>
        <w:rPr>
          <w:rFonts w:asciiTheme="majorBidi" w:hAnsiTheme="majorBidi" w:cstheme="majorBidi"/>
          <w:lang w:bidi="ar-AE"/>
        </w:rPr>
        <w:t>2.4.3 Video conferencing platforms</w:t>
      </w:r>
      <w:bookmarkEnd w:id="91"/>
      <w:bookmarkEnd w:id="92"/>
      <w:bookmarkEnd w:id="93"/>
      <w:bookmarkEnd w:id="94"/>
    </w:p>
    <w:p w14:paraId="748AB5A8"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In response to the COVID-19 pandemic and the need to restrict cross-border transmission, states introduced stringent public health measures, including social distancing requirements and the closure of national borders. As a result, in-person arbitral hearings became impracticable or legally impermissible under newly adopted regulations. Consequently, arbitration proceedings rapidly transitioned from physical hearings to online formats, with virtual and remote hearings becoming the prevailing standard in arbitral practice.</w:t>
      </w:r>
    </w:p>
    <w:p w14:paraId="0867DD14"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lastRenderedPageBreak/>
        <w:t xml:space="preserve">Empirical evidence supports this shift. A survey conducted by Born, Day, and Virjee revealed that arbitration users showed a clear preference for specific videoconferencing platforms when conducting remote hearings, with </w:t>
      </w:r>
      <w:r>
        <w:rPr>
          <w:rStyle w:val="whitespace-normal"/>
          <w:rFonts w:asciiTheme="majorBidi" w:eastAsiaTheme="majorEastAsia" w:hAnsiTheme="majorBidi" w:cstheme="majorBidi"/>
          <w:b/>
          <w:bCs/>
        </w:rPr>
        <w:t>Zoom</w:t>
      </w:r>
      <w:r>
        <w:rPr>
          <w:rFonts w:asciiTheme="majorBidi" w:hAnsiTheme="majorBidi" w:cstheme="majorBidi"/>
        </w:rPr>
        <w:t xml:space="preserve"> emerging as the most frequently used tool, followed by </w:t>
      </w:r>
      <w:r>
        <w:rPr>
          <w:rStyle w:val="whitespace-normal"/>
          <w:rFonts w:asciiTheme="majorBidi" w:eastAsiaTheme="majorEastAsia" w:hAnsiTheme="majorBidi" w:cstheme="majorBidi"/>
          <w:b/>
          <w:bCs/>
        </w:rPr>
        <w:t>Microsoft Teams</w:t>
      </w:r>
      <w:r>
        <w:rPr>
          <w:rFonts w:asciiTheme="majorBidi" w:hAnsiTheme="majorBidi" w:cstheme="majorBidi"/>
        </w:rPr>
        <w:t xml:space="preserve">, and </w:t>
      </w:r>
      <w:r>
        <w:rPr>
          <w:rStyle w:val="whitespace-normal"/>
          <w:rFonts w:asciiTheme="majorBidi" w:eastAsiaTheme="majorEastAsia" w:hAnsiTheme="majorBidi" w:cstheme="majorBidi"/>
          <w:b/>
          <w:bCs/>
        </w:rPr>
        <w:t>Cisco WebEx</w:t>
      </w:r>
      <w:r>
        <w:rPr>
          <w:rFonts w:asciiTheme="majorBidi" w:hAnsiTheme="majorBidi" w:cstheme="majorBidi"/>
        </w:rPr>
        <w:t>.</w:t>
      </w:r>
    </w:p>
    <w:p w14:paraId="1399033D" w14:textId="77777777" w:rsidR="00F073C0" w:rsidRPr="008819FD" w:rsidRDefault="00F073C0" w:rsidP="00663759">
      <w:pPr>
        <w:pStyle w:val="NormalWeb"/>
        <w:spacing w:line="480" w:lineRule="auto"/>
        <w:ind w:firstLine="720"/>
        <w:rPr>
          <w:rFonts w:asciiTheme="majorBidi" w:eastAsia="Calibri" w:hAnsiTheme="majorBidi" w:cstheme="majorBidi"/>
        </w:rPr>
      </w:pPr>
      <w:r>
        <w:rPr>
          <w:rFonts w:asciiTheme="majorBidi" w:hAnsiTheme="majorBidi" w:cstheme="majorBidi"/>
        </w:rPr>
        <w:t>Considering this widespread reliance on third-party videoconferencing technologies, the following subsections examine how these service providers collect, process, and safeguard users’ personal data. They also analyse the extent to which existing arbitration rules, institutional guidelines, and best-practice frameworks address the confidentiality, privacy, and data protection implications arising from the use of such platforms in arbitral proceedings</w:t>
      </w:r>
      <w:r>
        <w:rPr>
          <w:rFonts w:asciiTheme="majorBidi" w:eastAsia="Calibri" w:hAnsiTheme="majorBidi" w:cstheme="majorBidi"/>
        </w:rPr>
        <w:t xml:space="preserve"> </w:t>
      </w:r>
      <w:r>
        <w:rPr>
          <w:rStyle w:val="FootnoteReference"/>
          <w:rFonts w:asciiTheme="majorBidi" w:eastAsia="Calibri" w:hAnsiTheme="majorBidi" w:cstheme="majorBidi"/>
          <w:color w:val="000000"/>
          <w:lang w:bidi="ar-AE"/>
        </w:rPr>
        <w:footnoteReference w:id="184"/>
      </w:r>
      <w:r>
        <w:rPr>
          <w:rFonts w:asciiTheme="majorBidi" w:eastAsia="Calibri" w:hAnsiTheme="majorBidi" w:cstheme="majorBidi"/>
        </w:rPr>
        <w:t>.</w:t>
      </w:r>
    </w:p>
    <w:p w14:paraId="701DECC3" w14:textId="77777777" w:rsidR="00F073C0" w:rsidRPr="008819FD" w:rsidRDefault="00F073C0" w:rsidP="00663759">
      <w:pPr>
        <w:pStyle w:val="NormalWeb"/>
        <w:spacing w:line="480" w:lineRule="auto"/>
        <w:ind w:firstLine="720"/>
        <w:rPr>
          <w:rFonts w:asciiTheme="majorBidi" w:eastAsia="Calibri" w:hAnsiTheme="majorBidi" w:cstheme="majorBidi"/>
          <w:i/>
          <w:iCs/>
          <w:color w:val="000000"/>
          <w:lang w:bidi="ar-AE"/>
        </w:rPr>
      </w:pPr>
    </w:p>
    <w:p w14:paraId="4710D81F" w14:textId="77777777" w:rsidR="00F073C0" w:rsidRPr="008819FD" w:rsidRDefault="00F073C0" w:rsidP="00663759">
      <w:pPr>
        <w:numPr>
          <w:ilvl w:val="0"/>
          <w:numId w:val="15"/>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i/>
          <w:iCs/>
          <w:color w:val="000000"/>
          <w:lang w:bidi="ar-AE"/>
        </w:rPr>
        <w:t>Zoom</w:t>
      </w:r>
    </w:p>
    <w:p w14:paraId="6C3FEAA9"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 xml:space="preserve">Virtual hearings conducted through </w:t>
      </w:r>
      <w:r>
        <w:rPr>
          <w:rStyle w:val="whitespace-normal"/>
          <w:rFonts w:asciiTheme="majorBidi" w:eastAsiaTheme="majorEastAsia" w:hAnsiTheme="majorBidi" w:cstheme="majorBidi"/>
          <w:b/>
          <w:bCs/>
        </w:rPr>
        <w:t>Zoom</w:t>
      </w:r>
      <w:r>
        <w:rPr>
          <w:rFonts w:asciiTheme="majorBidi" w:hAnsiTheme="majorBidi" w:cstheme="majorBidi"/>
        </w:rPr>
        <w:t xml:space="preserve"> involve the processing of a wide range of personal data generated during arbitration proceedings. This data includes users’ account and profile information, as well as the substantive content of meetings, webinars, messages, and related communications. According to Zoom’s Privacy Statement, such information is collected and processed as part of the operation of its services.</w:t>
      </w:r>
    </w:p>
    <w:p w14:paraId="6B1A4795"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 xml:space="preserve">Importantly, Zoom reserves the right to grant access to this data to its employees without requiring the prior consent of users, where such access is deemed necessary for specific purposes. These purposes include compliance with applicable legal obligations, </w:t>
      </w:r>
      <w:r>
        <w:rPr>
          <w:rFonts w:asciiTheme="majorBidi" w:hAnsiTheme="majorBidi" w:cstheme="majorBidi"/>
        </w:rPr>
        <w:lastRenderedPageBreak/>
        <w:t>responding to judicial or regulatory proceedings, and investigating potential breaches of Zoom’s Terms of Service or internal policies. From the perspective of arbitral confidentiality, this level of access highlights the inherent risks associated with the use of third-party videoconferencing platforms in arbitration, particularly where sensitive or confidential information is exchanged during virtual hearings</w:t>
      </w:r>
      <w:r>
        <w:rPr>
          <w:rStyle w:val="FootnoteReference"/>
          <w:rFonts w:asciiTheme="majorBidi" w:eastAsia="Calibri" w:hAnsiTheme="majorBidi" w:cstheme="majorBidi"/>
          <w:color w:val="000000"/>
          <w:lang w:bidi="ar-AE"/>
        </w:rPr>
        <w:footnoteReference w:id="185"/>
      </w:r>
    </w:p>
    <w:p w14:paraId="6A39187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Beyond the disclosure of users’ personal data for legal compliance and operational purposes, </w:t>
      </w:r>
      <w:r>
        <w:rPr>
          <w:rFonts w:asciiTheme="majorBidi" w:eastAsia="Calibri" w:hAnsiTheme="majorBidi" w:cstheme="majorBidi"/>
          <w:b/>
          <w:bCs/>
          <w:color w:val="000000"/>
          <w:lang w:bidi="ar-AE"/>
        </w:rPr>
        <w:t>Zoom</w:t>
      </w:r>
      <w:r>
        <w:rPr>
          <w:rFonts w:asciiTheme="majorBidi" w:eastAsia="Calibri" w:hAnsiTheme="majorBidi" w:cstheme="majorBidi"/>
          <w:color w:val="000000"/>
          <w:lang w:bidi="ar-AE"/>
        </w:rPr>
        <w:t xml:space="preserve"> also reserves the right to share such data with third-party service providers without prior user consent for reasons related to corporate and social responsibility, as well as for the protection of its own rights and property and those of its users. In effect, Zoom’s Privacy Statement permits the use of customer data in ways that support the company’s commercial interests and risk management objectives within the digital marketplace.</w:t>
      </w:r>
    </w:p>
    <w:p w14:paraId="2B6B5D8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Nevertheless, Zoom’s contractual framework provides a degree of reassurance regarding the confidentiality of arbitration hearing content. Section 17.3 of Zoom’s Terms of Service stipulates that both Zoom, and the customer undertake to protect each other’s confidential information by adopting safeguards that are at least equivalent to those used to protect information of comparable sensitivity and, in any event, meet a reasonable standard of care. While this provision reflects a mutual commitment to confidentiality, it remains framed in general terms and does not eliminate concerns regarding third-party access to sensitive arbitral communications conducted through the platform</w:t>
      </w:r>
      <w:r>
        <w:rPr>
          <w:rStyle w:val="FootnoteReference"/>
          <w:rFonts w:asciiTheme="majorBidi" w:eastAsia="Calibri" w:hAnsiTheme="majorBidi" w:cstheme="majorBidi"/>
          <w:color w:val="000000"/>
          <w:lang w:bidi="ar-AE"/>
        </w:rPr>
        <w:footnoteReference w:id="186"/>
      </w:r>
      <w:r>
        <w:rPr>
          <w:rFonts w:asciiTheme="majorBidi" w:eastAsia="Calibri" w:hAnsiTheme="majorBidi" w:cstheme="majorBidi"/>
          <w:color w:val="000000"/>
          <w:lang w:bidi="ar-AE"/>
        </w:rPr>
        <w:t xml:space="preserve">. </w:t>
      </w:r>
    </w:p>
    <w:p w14:paraId="50EFB98B"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While the TOS (including the privacy statement) restricts the disclosure of customer information to Zoom's employees and agents, it does not limit the disclosure of the information to other third parties. Section 17.3 of the TOS specifically states: .Neither Party shall disclose the Confidential Information of the other to any Person or Entity except for such employee(s), advisor(s), attorney(s), consultant(s), contractor(s), service provider(s), sub-processor(s) and/or third party(ies) to whom each Party is required to make disclosure in order to perform the terms of this Agreement; and each of such employee(s), advisor(s), attorney(s), consultant(s), contractor(s), service provider(s), sub-processor(s) and/or third party(ies) has agreed to maintain the Confidential Information of the disclosing Party in confidence for so long as necessary and/or permitted under the applicable agreement</w:t>
      </w:r>
      <w:r>
        <w:rPr>
          <w:rStyle w:val="FootnoteReference"/>
          <w:rFonts w:asciiTheme="majorBidi" w:eastAsia="Calibri" w:hAnsiTheme="majorBidi" w:cstheme="majorBidi"/>
          <w:color w:val="000000"/>
          <w:lang w:bidi="ar-AE"/>
        </w:rPr>
        <w:footnoteReference w:id="187"/>
      </w:r>
      <w:r>
        <w:rPr>
          <w:rFonts w:asciiTheme="majorBidi" w:eastAsia="Calibri" w:hAnsiTheme="majorBidi" w:cstheme="majorBidi"/>
          <w:color w:val="000000"/>
          <w:lang w:bidi="ar-AE"/>
        </w:rPr>
        <w:t>.</w:t>
      </w:r>
    </w:p>
    <w:p w14:paraId="17ADD78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addition to being limited in scope by the nature of a contractual obligation of confidentiality, the TOS has additional limitations as to the application of this obligation due to several broad exceptions. The scope of the applicability of the TOS obligation of confidentiality also remains an open question to date with respect to how far it will extend to the jurisdictional privacy laws applicable in the country/region in which Zoom provides services to arbitration stakeholders. In general, Zoom utilises the governing law clause, the forum selection clause and other provisions contained within the TOS to limit/exclude the application of the local privacy laws that are applicable in the arbitration stakeholder's country/region.</w:t>
      </w:r>
      <w:r>
        <w:rPr>
          <w:rStyle w:val="FootnoteReference"/>
          <w:rFonts w:asciiTheme="majorBidi" w:eastAsia="Calibri" w:hAnsiTheme="majorBidi" w:cstheme="majorBidi"/>
          <w:color w:val="000000"/>
          <w:lang w:bidi="ar-AE"/>
        </w:rPr>
        <w:footnoteReference w:id="188"/>
      </w:r>
    </w:p>
    <w:p w14:paraId="0331005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 xml:space="preserve"> Although there are exceptions to the general obligation of maintaining confidentiality discussed in the previous section which would presumably not be applicable to an arbitration institution or a law firm as the holder of a business or enterprise account with Zoom; and although its use of Zoom's services necessitates that Zoom collect and process its end-users' personal information pursuant to a data processing agreement, nevertheless Zoom has failed to specifically state that it will maintain a higher duty of confidentiality and/or privacy on behalf of all of its premium users</w:t>
      </w:r>
      <w:r>
        <w:rPr>
          <w:rStyle w:val="FootnoteReference"/>
          <w:rFonts w:asciiTheme="majorBidi" w:eastAsia="Calibri" w:hAnsiTheme="majorBidi" w:cstheme="majorBidi"/>
          <w:color w:val="000000"/>
          <w:lang w:bidi="ar-AE"/>
        </w:rPr>
        <w:footnoteReference w:id="189"/>
      </w:r>
      <w:r>
        <w:rPr>
          <w:rFonts w:asciiTheme="majorBidi" w:eastAsia="Calibri" w:hAnsiTheme="majorBidi" w:cstheme="majorBidi"/>
          <w:color w:val="000000"/>
          <w:lang w:bidi="ar-AE"/>
        </w:rPr>
        <w:t>.</w:t>
      </w:r>
    </w:p>
    <w:p w14:paraId="09E72EA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rPr>
      </w:pPr>
      <w:r>
        <w:rPr>
          <w:rFonts w:asciiTheme="majorBidi" w:eastAsia="Calibri" w:hAnsiTheme="majorBidi" w:cstheme="majorBidi"/>
          <w:color w:val="000000"/>
          <w:lang w:bidi="ar-AE"/>
        </w:rPr>
        <w:t xml:space="preserve"> First, such data processing by Zoom is subject to Zoom’s Global Data Processing Addendum, which authorizes Zoom to engage authorized sub-processors, such as Amazon Web Services, Apple, Google, and Microsoft. Second, as per its governing law—the law of California—the TOS poses stringent confidentiality requirements on Zoom’s use of private data on behalf of a business, subject to the following significant exceptions.</w:t>
      </w:r>
      <w:r>
        <w:rPr>
          <w:rFonts w:asciiTheme="majorBidi" w:eastAsia="Calibri" w:hAnsiTheme="majorBidi" w:cstheme="majorBidi"/>
        </w:rPr>
        <w:t xml:space="preserve"> </w:t>
      </w:r>
      <w:r>
        <w:rPr>
          <w:rStyle w:val="FootnoteReference"/>
          <w:rFonts w:asciiTheme="majorBidi" w:eastAsia="Calibri" w:hAnsiTheme="majorBidi" w:cstheme="majorBidi"/>
          <w:color w:val="000000"/>
          <w:lang w:bidi="ar-AE"/>
        </w:rPr>
        <w:footnoteReference w:id="190"/>
      </w:r>
    </w:p>
    <w:p w14:paraId="04F65C4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TOS incorporates the Zoom US State Law Privacy Addendum, when the arbitration institution or law firm is a ‘business’ and Zoom is processing ‘personal information’ (under the California Consumer Privacy Act of 2018 as amended) for the institution or firm; and/or (ii), the institution or firm is a ‘controller of personal data’, and Zoom is processing such data (under applicable U.S. State Data Privacy Laws) on behalf of the institution or firm. The Addendum provides that Zoom will remove or deliver back to its customers all their data once it has completed providing its service(s) to the customer. However, the Addendum does not prevent Zoom from disclosing the customer's confidential </w:t>
      </w:r>
      <w:r>
        <w:rPr>
          <w:rFonts w:asciiTheme="majorBidi" w:eastAsia="Calibri" w:hAnsiTheme="majorBidi" w:cstheme="majorBidi"/>
          <w:color w:val="000000"/>
          <w:lang w:bidi="ar-AE"/>
        </w:rPr>
        <w:lastRenderedPageBreak/>
        <w:t>data to third parties prior to removing or delivering back the customer's data. As regards (ii) above, the Addendum also obliges the customer to broadly give authorization to Zoom to use sub-contractors and sub-processor to process the personal information of the customer in which case Zoom is a processor of the personal information of its business users including but not limited to arbitration institutions and law firms</w:t>
      </w:r>
      <w:r>
        <w:rPr>
          <w:rStyle w:val="FootnoteReference"/>
          <w:rFonts w:asciiTheme="majorBidi" w:eastAsia="Calibri" w:hAnsiTheme="majorBidi" w:cstheme="majorBidi"/>
          <w:color w:val="000000"/>
          <w:lang w:bidi="ar-AE"/>
        </w:rPr>
        <w:footnoteReference w:id="191"/>
      </w:r>
      <w:r>
        <w:rPr>
          <w:rFonts w:asciiTheme="majorBidi" w:eastAsia="Calibri" w:hAnsiTheme="majorBidi" w:cstheme="majorBidi"/>
          <w:color w:val="000000"/>
          <w:lang w:bidi="ar-AE"/>
        </w:rPr>
        <w:t>.</w:t>
      </w:r>
    </w:p>
    <w:p w14:paraId="7A3DAC99" w14:textId="77777777" w:rsidR="00F073C0" w:rsidRPr="008819FD" w:rsidRDefault="00F073C0" w:rsidP="00663759">
      <w:pPr>
        <w:numPr>
          <w:ilvl w:val="0"/>
          <w:numId w:val="15"/>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i/>
          <w:iCs/>
          <w:color w:val="000000"/>
          <w:lang w:bidi="ar-AE"/>
        </w:rPr>
        <w:t>Microsoft Teams and Cisco WebEx</w:t>
      </w:r>
    </w:p>
    <w:p w14:paraId="2B1364B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Microsoft Teams and Cisco WebEx, as well as Zoom and other virtual hearing platforms have taken an almost identical approach to collecting and utilizing the personal data of users. Prior to 2023, Microsoft Teams was able to collect various types of user data including, but not limited to, profile data and content which may include users meeting and chat history, voicemail, documents, recordings and transcription of conversations. Additionally, Microsoft’s cloud service provides Microsoft with the ability to process this collected user data in order to conduct Microsoft’s legitimate business operations including (i) billing and managing accounts; (ii) compensating Microsoft’s employees and partners; (iii) conducting internal operations; (iv) detecting and preventing fraud and cybercrime; (v) improving Microsoft’s products and services; and (vi) compiling financial reports and complying with legal obligations. In addition, Microsoft’s virtual hearing platform provides Microsoft with the opportunity to disclose user personal data as required by the user’s request, applicable laws, and the revised, renamed and re-arranged “Online Service Terms” (Although, these permissions were removed from the Teams website in 2024, it is unclear at present what terms now apply). Similarly, Cisco collects user personal data through Cisco WebEx and maintains in its privacy policy that 'Cisco will retain and use users' personal data as needed to </w:t>
      </w:r>
      <w:r>
        <w:rPr>
          <w:rFonts w:asciiTheme="majorBidi" w:eastAsia="Calibri" w:hAnsiTheme="majorBidi" w:cstheme="majorBidi"/>
          <w:color w:val="000000"/>
          <w:lang w:bidi="ar-AE"/>
        </w:rPr>
        <w:lastRenderedPageBreak/>
        <w:t>fulfill our business needs, meet our legal obligations, resolve disputes, protect our assets and enforce our rights and agreements' (Dent-Spargo, 2021). Therefore, both Microsoft and Cisco prioritize their respective business interests above the confidentiality/privacy of online hearings where there is a conflict between the two interests. Moreover, both companies' business interests may be inconsistent with the protection of confidential/private data given that many of their revenue streams come from transactions involving aggregated personal data that is shared with their business partners, who are typically other Virtual service providers.</w:t>
      </w:r>
    </w:p>
    <w:p w14:paraId="220BB273"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Therefore, in summary, when arbitration stakeholders utilise Microsoft Teams and Cisco WebEx (as well as Zoom and other video conferencing platforms), they provide service providers with permission to commodify confidential and private information about arbitral proceedings.</w:t>
      </w:r>
    </w:p>
    <w:p w14:paraId="35C9A3D2" w14:textId="77777777" w:rsidR="00F073C0" w:rsidRPr="008819FD" w:rsidRDefault="00F073C0" w:rsidP="00663759">
      <w:pPr>
        <w:numPr>
          <w:ilvl w:val="0"/>
          <w:numId w:val="15"/>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i/>
          <w:iCs/>
          <w:color w:val="000000"/>
          <w:lang w:bidi="ar-AE"/>
        </w:rPr>
        <w:t>Arbitration rules and guidelines</w:t>
      </w:r>
    </w:p>
    <w:p w14:paraId="139E720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rPr>
      </w:pPr>
      <w:r>
        <w:rPr>
          <w:rFonts w:asciiTheme="majorBidi" w:eastAsia="Calibri" w:hAnsiTheme="majorBidi" w:cstheme="majorBidi"/>
          <w:color w:val="000000"/>
          <w:lang w:bidi="ar-AE"/>
        </w:rPr>
        <w:t xml:space="preserve">The COVID-19 pandemic has furthered the emergence of protocols, and the expansion of arbitration institutions' and associations' rules and protocols regarding virtual/remote hearings in arbitration. The protocols and guidelines provided by the arbitration institutions and associations provide recommendations for arbitration users as to how to manage concerns regarding the confidentiality and data protection of their virtual/remote hearings, primarily through protecting these virtual/remote hearings from unauthorised access by third parties. However, the protocols and guidelines of the institutions and associations do not offer similar recommendations for protecting the confidentiality and privacy of arbitration outside the context of formal hearings. Therefore, the institutions and associations recommend that tribunals and parties reach an agreement as to who will have access to arbitration communications, subject to the parties entering confidential undertakings that require each </w:t>
      </w:r>
      <w:r>
        <w:rPr>
          <w:rFonts w:asciiTheme="majorBidi" w:eastAsia="Calibri" w:hAnsiTheme="majorBidi" w:cstheme="majorBidi"/>
          <w:color w:val="000000"/>
          <w:lang w:bidi="ar-AE"/>
        </w:rPr>
        <w:lastRenderedPageBreak/>
        <w:t>participant to abide by the conditions of an arbitral hearing. The conditions of the undertakings include but are not limited to, protecting video conferencing with a password, developing the approved list of participants to be allowed to participate in the hearing, and eliminating the opportunity for unapproved or non-participating individuals to be physically present in the same room as participants in a remote hearing</w:t>
      </w:r>
      <w:r>
        <w:rPr>
          <w:rFonts w:asciiTheme="majorBidi" w:eastAsia="Calibri" w:hAnsiTheme="majorBidi" w:cstheme="majorBidi"/>
        </w:rPr>
        <w:t xml:space="preserve"> </w:t>
      </w:r>
      <w:r>
        <w:rPr>
          <w:rStyle w:val="FootnoteReference"/>
          <w:rFonts w:asciiTheme="majorBidi" w:eastAsia="Calibri" w:hAnsiTheme="majorBidi" w:cstheme="majorBidi"/>
          <w:color w:val="000000"/>
          <w:lang w:bidi="ar-AE"/>
        </w:rPr>
        <w:footnoteReference w:id="192"/>
      </w:r>
      <w:r>
        <w:rPr>
          <w:rFonts w:asciiTheme="majorBidi" w:eastAsia="Calibri" w:hAnsiTheme="majorBidi" w:cstheme="majorBidi"/>
        </w:rPr>
        <w:t xml:space="preserve">. </w:t>
      </w:r>
    </w:p>
    <w:p w14:paraId="408A307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These guidelines have omitted the risks arising from commercial video conferencing platform providers enabling the exchange of private/confidential online hearings for parties and/or their representatives. This issue is recognized by some commentators, for instance Scherer who states: The real question here is whether a remote hearing service provider or any other third-party involved in the storage, transmission, etc. of data within the remote hearing can misuse such data outside of the arbitration process. The general terms and conditions of some video-conference platforms also provide that they shall be entitled to own all data transmitted via the videoconference. Therefore, the provider could possibly sell or use the data as well as use the data in a way that would be detrimental to the confidentiality of an arbitration proceeding.</w:t>
      </w:r>
    </w:p>
    <w:p w14:paraId="10732E77"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Scherer's claims. Zoom, Microsoft and Cisco all state within their Privacy Statements (which they require you to accept when registering) that they have the right to collect, and to disclose the contents of video conference calls for the purpose of operating their business; or to defend themselves legally. However, neither new protocols/guidelines regarding the holding of virtual hearings at arbitration institutions, nor the current arbitration institutional protocols </w:t>
      </w:r>
      <w:r>
        <w:rPr>
          <w:rFonts w:asciiTheme="majorBidi" w:eastAsia="Calibri" w:hAnsiTheme="majorBidi" w:cstheme="majorBidi"/>
          <w:color w:val="000000"/>
          <w:lang w:bidi="ar-AE"/>
        </w:rPr>
        <w:lastRenderedPageBreak/>
        <w:t>provide adequate solutions to the problem of how to ensure the confidentiality of the communications taking place during those hearings.</w:t>
      </w:r>
    </w:p>
    <w:p w14:paraId="2DCA32CB"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It appears that one reason for this lack of response to this issue from arbitration institutions is the lack of ability on the part of arbitration institutions to notify arbitration users of the risk of loss of confidentiality due to the relative inability of arbitration institutions to protect the confidentiality of communications made through virtual hearing processes; the significant degree of control exerted by virtual  companies with respect to the data collected as a result of arbitration users utilizing the services provided by virtual  companies to facilitate virtual hearings; and the fact that the parties to arbitration are typically aware that they agreed to utilise digital technology to conduct their arbitration.</w:t>
      </w:r>
    </w:p>
    <w:p w14:paraId="410B6BF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order to prevent a reduction in the level of trust placed by the public in the arbitration process, and to prevent arbitration users from being subjected to additional costs associated with negotiating and implementing terms of agreement relating to confidentiality; it is necessary for arbitration stakeholders to advise arbitration participants of the differential in their respective rights and powers to control and determine whether or not arbitral proceedings are confidential and private.</w:t>
      </w:r>
    </w:p>
    <w:p w14:paraId="6E3AA55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need to act by stakeholders to protect the interests of arbitration participants, should be greater than the incentives for non-action in this regard. If arbitration stakeholders fail to act in this regard, international commercial arbitration could develop into an attractive and cost-effective solution to virtual companies who wish to obtain access to confidential </w:t>
      </w:r>
      <w:r>
        <w:rPr>
          <w:rFonts w:asciiTheme="majorBidi" w:eastAsia="Calibri" w:hAnsiTheme="majorBidi" w:cstheme="majorBidi"/>
          <w:color w:val="000000"/>
          <w:lang w:bidi="ar-AE"/>
        </w:rPr>
        <w:lastRenderedPageBreak/>
        <w:t>information regarding disputes for the purposes of generating profit from their commercial interests</w:t>
      </w:r>
      <w:r>
        <w:rPr>
          <w:rStyle w:val="FootnoteReference"/>
          <w:rFonts w:asciiTheme="majorBidi" w:eastAsia="Calibri" w:hAnsiTheme="majorBidi" w:cstheme="majorBidi"/>
          <w:color w:val="000000"/>
          <w:lang w:bidi="ar-AE"/>
        </w:rPr>
        <w:footnoteReference w:id="193"/>
      </w:r>
      <w:r>
        <w:rPr>
          <w:rFonts w:asciiTheme="majorBidi" w:eastAsia="Calibri" w:hAnsiTheme="majorBidi" w:cstheme="majorBidi"/>
          <w:color w:val="000000"/>
          <w:lang w:bidi="ar-AE"/>
        </w:rPr>
        <w:t>.</w:t>
      </w:r>
    </w:p>
    <w:p w14:paraId="5AE70CE5"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rPr>
      </w:pPr>
      <w:r>
        <w:rPr>
          <w:rFonts w:asciiTheme="majorBidi" w:eastAsia="Calibri" w:hAnsiTheme="majorBidi" w:cstheme="majorBidi"/>
          <w:color w:val="000000"/>
          <w:lang w:bidi="ar-AE"/>
        </w:rPr>
        <w:t>There has been little research on how service providers of video conferencing platforms use consumers' data for commercial purposes. In 2020, a class action lawsuit was filed in the U.S. Northern District Court of California against Zoom by a group of Zoom users. Among their claims were that Zoom provided the personally identifiable information of its customers to third-party companies (e.g., Facebook, Google and LinkedIn) without their consent and allowed hackers to disrupt Zoom meetings through an act known as "Zoombombing." The personally identifiable information allegedly accessed by these third-party companies included 'device carrier, iOS Advertiser ID, iOS Device CPU Cores, iOS Device Display Dimension, iOS Device Model, iOS Language, iOS Time zone, [and] iOS Version'. The plaintiffs claimed that when this information is used together with information about the consumer's usage of all apps on his/her/their device, it enables third-party companies to identify each user and monitor their behavior across multiple digital services. However, the court ruled that the plaintiffs failed to provide sufficient evidence to support their allegations of Zoom's unauthorised transfer of consumers' personal data and stated in essence that the plaintiffs did not clarify how much information was transferred to third-party companies</w:t>
      </w:r>
      <w:r>
        <w:rPr>
          <w:rStyle w:val="FootnoteReference"/>
          <w:rFonts w:asciiTheme="majorBidi" w:eastAsia="Calibri" w:hAnsiTheme="majorBidi" w:cstheme="majorBidi"/>
          <w:color w:val="000000"/>
          <w:lang w:bidi="ar-AE"/>
        </w:rPr>
        <w:footnoteReference w:id="194"/>
      </w:r>
      <w:r>
        <w:rPr>
          <w:rFonts w:asciiTheme="majorBidi" w:eastAsia="Calibri" w:hAnsiTheme="majorBidi" w:cstheme="majorBidi"/>
          <w:color w:val="000000"/>
          <w:lang w:bidi="ar-AE"/>
        </w:rPr>
        <w:t>.</w:t>
      </w:r>
      <w:r>
        <w:rPr>
          <w:rFonts w:asciiTheme="majorBidi" w:eastAsia="Calibri" w:hAnsiTheme="majorBidi" w:cstheme="majorBidi"/>
        </w:rPr>
        <w:t xml:space="preserve"> </w:t>
      </w:r>
    </w:p>
    <w:p w14:paraId="6CE68FD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extent to which plaintiffs may have changed their initial claims against defendants cannot be entirely determined by a settlement agreement between plaintiffs and Zoom wherein Zoom allegedly agreed to pay an amount of approximately eighty-five million dollars as </w:t>
      </w:r>
      <w:r>
        <w:rPr>
          <w:rFonts w:asciiTheme="majorBidi" w:eastAsia="Calibri" w:hAnsiTheme="majorBidi" w:cstheme="majorBidi"/>
          <w:color w:val="000000"/>
          <w:lang w:bidi="ar-AE"/>
        </w:rPr>
        <w:lastRenderedPageBreak/>
        <w:t>damages to plaintiffs and implement certain changes in Zoom's business operations, including notifying Zoom customers when third party applications are being used by meeting hosts or participants within a Zoom meeting and to provide additional employee training regarding the management of customer data for privacy purposes; the approximate eighty five million dollars paid in damages is considerable, however, it is not extraordinary given that defendants report they received $1.3 billion in revenue from Zoom meeting subscription payments from the class members.</w:t>
      </w:r>
    </w:p>
    <w:p w14:paraId="642A405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suggestion that video conferencing platforms will be less likely to monetize participant PII through the sale to third parties due to potential financial incentive for profit, does seem an overstatement. There may be no reason why mega-data corporations which generate huge amounts of revenue through the sale of private data to third parties would be less likely to continue this practice, even after paying monetary damages in a settlement to plaintiff’s in a class action lawsuit or having to pay the cost associated with settling with plaintiff's in a case involving the use of participant PII by third-party companies. The class action against Zoom also illustrates that the public relations ramifications (negative) associated with such an action and the possibility of third-party data being subject to regulatory oversight may lead to additional constraints on the ability of mega-data corporations to sell PII to third parties.</w:t>
      </w:r>
    </w:p>
    <w:p w14:paraId="43F2494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More concerning is the potential misuse of trade or technical secrets by service providers for their product development</w:t>
      </w:r>
      <w:r>
        <w:rPr>
          <w:rFonts w:asciiTheme="majorBidi" w:eastAsia="Calibri" w:hAnsiTheme="majorBidi" w:cstheme="majorBidi"/>
          <w:color w:val="000000"/>
          <w:rtl/>
          <w:lang w:bidi="ar-AE"/>
        </w:rPr>
        <w:t>.</w:t>
      </w:r>
      <w:r>
        <w:rPr>
          <w:rFonts w:asciiTheme="majorBidi" w:eastAsia="Calibri" w:hAnsiTheme="majorBidi" w:cstheme="majorBidi"/>
          <w:color w:val="000000"/>
          <w:lang w:bidi="ar-AE"/>
        </w:rPr>
        <w:t xml:space="preserve"> For instance, some major technology companies today are influential in the field of virtual reality (VR), as well as in software and hardware </w:t>
      </w:r>
      <w:r>
        <w:rPr>
          <w:rFonts w:asciiTheme="majorBidi" w:eastAsia="Calibri" w:hAnsiTheme="majorBidi" w:cstheme="majorBidi"/>
          <w:color w:val="000000"/>
          <w:lang w:bidi="ar-AE"/>
        </w:rPr>
        <w:lastRenderedPageBreak/>
        <w:t>development</w:t>
      </w:r>
      <w:r>
        <w:rPr>
          <w:rStyle w:val="FootnoteReference"/>
          <w:rFonts w:asciiTheme="majorBidi" w:eastAsia="Calibri" w:hAnsiTheme="majorBidi" w:cstheme="majorBidi"/>
          <w:color w:val="000000"/>
          <w:lang w:bidi="ar-AE"/>
        </w:rPr>
        <w:footnoteReference w:id="195"/>
      </w:r>
      <w:r>
        <w:rPr>
          <w:rFonts w:asciiTheme="majorBidi" w:eastAsia="Calibri" w:hAnsiTheme="majorBidi" w:cstheme="majorBidi"/>
          <w:color w:val="000000"/>
          <w:lang w:bidi="ar-AE"/>
        </w:rPr>
        <w:t>. Microsoft sells personal computers, such as the Surface, and home video game consoles, like the Xbox. Thus, if a technological dispute arises between computer manufacturers, such as Dell and Acer, and they opt for online arbitration using Microsoft Teams, Microsoft will be able to utilise the discussion and display of confidential technical data from that arbitration for its future product development. Likewise, an online arbitration between Sony and Nintendo on Teams could unexpectedly contribute to the advancement of Xbox</w:t>
      </w:r>
      <w:r>
        <w:rPr>
          <w:rStyle w:val="FootnoteReference"/>
          <w:rFonts w:asciiTheme="majorBidi" w:eastAsia="Calibri" w:hAnsiTheme="majorBidi" w:cstheme="majorBidi"/>
          <w:color w:val="000000"/>
          <w:lang w:bidi="ar-AE"/>
        </w:rPr>
        <w:footnoteReference w:id="196"/>
      </w:r>
    </w:p>
    <w:p w14:paraId="40F116A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each case, Microsoft could monetize the confidential data without selling it to third parties. These examples are speculative, and no accessible evidence suggests that similar incidents had happened in relation to Microsoft and other tech companies by the time Microsoft revised its privacy policy on Teams in early 2024.</w:t>
      </w:r>
    </w:p>
    <w:p w14:paraId="7C0009C4"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b/>
          <w:bCs/>
          <w:color w:val="000000"/>
          <w:lang w:bidi="ar-AE"/>
        </w:rPr>
      </w:pPr>
      <w:r>
        <w:rPr>
          <w:rFonts w:asciiTheme="majorBidi" w:eastAsia="Calibri" w:hAnsiTheme="majorBidi" w:cstheme="majorBidi"/>
          <w:color w:val="000000"/>
          <w:lang w:bidi="ar-AE"/>
        </w:rPr>
        <w:t xml:space="preserve">Nonetheless, Virtual giants have the means and ability to access confidential and private technical information discussed by the parties to arbitration on their video communication platforms, as demonstrated by the fact that mass surveillance by governments using software developed by tech giants is reportedly happening elsewhere in the world. Whether or not they have engaged or will engage in such profit-generating tactics is nevertheless within the scope of their technological capability. Virtual giants are also able to exclude or limit their liability for such data misuse for several reasons. They have sufficient resources to pay fines for violating arbitral privacy and confidentiality. They enjoy more bargaining power than arbitration stakeholders. The reputational harm to them for doing so, </w:t>
      </w:r>
      <w:r>
        <w:rPr>
          <w:rFonts w:asciiTheme="majorBidi" w:eastAsia="Calibri" w:hAnsiTheme="majorBidi" w:cstheme="majorBidi"/>
          <w:color w:val="000000"/>
          <w:lang w:bidi="ar-AE"/>
        </w:rPr>
        <w:lastRenderedPageBreak/>
        <w:t>according to a cost-benefit calculus, is likely to be less than their prospective profits from engaging in such action. Arbitration stakeholders are not incentivized to accept such practices. However, they ordinarily cannot avoid them if they wish to continue using such data storage, transmission, and digital services, as other ICT providers adopt comparable practices.</w:t>
      </w:r>
      <w:r>
        <w:rPr>
          <w:rStyle w:val="FootnoteReference"/>
          <w:rFonts w:asciiTheme="majorBidi" w:eastAsia="Calibri" w:hAnsiTheme="majorBidi" w:cstheme="majorBidi"/>
          <w:color w:val="000000"/>
          <w:lang w:bidi="ar-AE"/>
        </w:rPr>
        <w:footnoteReference w:id="197"/>
      </w:r>
      <w:r>
        <w:rPr>
          <w:rFonts w:asciiTheme="majorBidi" w:eastAsia="Calibri" w:hAnsiTheme="majorBidi" w:cstheme="majorBidi"/>
          <w:color w:val="000000"/>
          <w:lang w:bidi="ar-AE"/>
        </w:rPr>
        <w:t>.</w:t>
      </w:r>
      <w:r>
        <w:rPr>
          <w:rFonts w:asciiTheme="majorBidi" w:eastAsia="Calibri" w:hAnsiTheme="majorBidi" w:cstheme="majorBidi"/>
          <w:b/>
          <w:bCs/>
          <w:color w:val="000000"/>
          <w:lang w:bidi="ar-AE"/>
        </w:rPr>
        <w:t xml:space="preserve"> </w:t>
      </w:r>
    </w:p>
    <w:p w14:paraId="2883AE5F" w14:textId="77777777" w:rsidR="00F073C0" w:rsidRPr="008819FD" w:rsidRDefault="00F073C0" w:rsidP="00663759">
      <w:pPr>
        <w:pStyle w:val="Heading2"/>
        <w:rPr>
          <w:rFonts w:asciiTheme="majorBidi" w:hAnsiTheme="majorBidi" w:cstheme="majorBidi"/>
          <w:sz w:val="24"/>
          <w:szCs w:val="24"/>
          <w:lang w:bidi="ar-AE"/>
        </w:rPr>
      </w:pPr>
      <w:bookmarkStart w:id="95" w:name="_Toc190813285"/>
      <w:bookmarkStart w:id="96" w:name="_Toc209626929"/>
      <w:bookmarkStart w:id="97" w:name="_Toc217491566"/>
      <w:bookmarkStart w:id="98" w:name="_Toc221804516"/>
      <w:r>
        <w:rPr>
          <w:rFonts w:asciiTheme="majorBidi" w:hAnsiTheme="majorBidi" w:cstheme="majorBidi"/>
          <w:sz w:val="24"/>
          <w:szCs w:val="24"/>
          <w:lang w:bidi="ar-AE"/>
        </w:rPr>
        <w:t>Redefining Confidentiality and Privacy for the Increased Use of Digital Technologies</w:t>
      </w:r>
      <w:bookmarkEnd w:id="95"/>
      <w:bookmarkEnd w:id="96"/>
      <w:bookmarkEnd w:id="97"/>
      <w:bookmarkEnd w:id="98"/>
    </w:p>
    <w:p w14:paraId="5EC54A4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As discussed above, arbitration institutions and associations have largely maintained their traditional rules governing confidentiality and privacy that preceded the advent of modern data technologies. These established rules were, arguably, effective in controlling traditional third-party access to data. Established before the advent of modern data technologies and the Virtual of Things, third parties were indeed potential sources of privacy and confidentiality violations. Postal companies misdirected or misappropriated mail correspondence. Telecommunications companies recorded, re-transmitted, and listened to secret conversations on phones. Private individuals (including ICT providers) were able to breach the confidentiality/privacy of arbitral proceedings in various ways, such as by misusing mail, bugging telephones, and face-to-face communications, and misleading arbitration participants in person or over the phone. Traditional arbitration rules and guidelines encouraged those involved in arbitral proceedings to be wary of traditional third-party violations of their confidentiality and privacy</w:t>
      </w:r>
      <w:r>
        <w:rPr>
          <w:rStyle w:val="FootnoteReference"/>
          <w:rFonts w:asciiTheme="majorBidi" w:eastAsia="Calibri" w:hAnsiTheme="majorBidi" w:cstheme="majorBidi"/>
          <w:color w:val="000000"/>
          <w:lang w:bidi="ar-AE"/>
        </w:rPr>
        <w:footnoteReference w:id="198"/>
      </w:r>
      <w:r>
        <w:rPr>
          <w:rFonts w:asciiTheme="majorBidi" w:eastAsia="Calibri" w:hAnsiTheme="majorBidi" w:cstheme="majorBidi"/>
          <w:color w:val="000000"/>
          <w:lang w:bidi="ar-AE"/>
        </w:rPr>
        <w:t>.</w:t>
      </w:r>
    </w:p>
    <w:p w14:paraId="51BE6DFD"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However, the use of traditional forms of communication has been replaced with a newer technology driven method of communication. Nevertheless, arbitration organisations </w:t>
      </w:r>
      <w:r>
        <w:rPr>
          <w:rFonts w:asciiTheme="majorBidi" w:eastAsia="Calibri" w:hAnsiTheme="majorBidi" w:cstheme="majorBidi"/>
          <w:color w:val="000000"/>
          <w:lang w:bidi="ar-AE"/>
        </w:rPr>
        <w:lastRenderedPageBreak/>
        <w:t>and associations have largely neglected new risks that digital technologies pose to the confidentiality/privacy of classical arbitral procedures, and they have failed to provide arbitration participants with guidance on new risks to privacy and confidentiality generated by an increasing impact of tech giants on virtual communication processes for arbitral proceeding. The rules and regulations developed by arbitration organisations and associations do not address, in terms of misuse of confidential information by tech companies, as a breach of confidentiality/privacy and are different in many ways than other breaches of confidentiality/privac.</w:t>
      </w:r>
      <w:r>
        <w:rPr>
          <w:rStyle w:val="FootnoteReference"/>
          <w:rFonts w:asciiTheme="majorBidi" w:eastAsia="Calibri" w:hAnsiTheme="majorBidi" w:cstheme="majorBidi"/>
          <w:color w:val="000000"/>
          <w:lang w:bidi="ar-AE"/>
        </w:rPr>
        <w:footnoteReference w:id="199"/>
      </w:r>
      <w:r>
        <w:rPr>
          <w:rFonts w:asciiTheme="majorBidi" w:eastAsia="Calibri" w:hAnsiTheme="majorBidi" w:cstheme="majorBidi"/>
          <w:color w:val="000000"/>
          <w:lang w:bidi="ar-AE"/>
        </w:rPr>
        <w:t>.</w:t>
      </w:r>
    </w:p>
    <w:p w14:paraId="118E5C9A"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First, as Trakman, Walters, and Zeller suggest, ‘a privacy violation … over the Virtual  may take weeks, months or years to identify’, unlike traditional notions of torts in privacy protection.This is exemplified by the ‘right to be forgotten’ in the EU and the right ‘to be left alone’ in the US, two conflicting concepts that demonstrate that traditional commercial and legal measures directed at protecting privacy/confidentiality are often inadequate and insufficient to deter data abuse</w:t>
      </w:r>
      <w:r>
        <w:rPr>
          <w:rStyle w:val="FootnoteReference"/>
          <w:rFonts w:asciiTheme="majorBidi" w:eastAsia="Calibri" w:hAnsiTheme="majorBidi" w:cstheme="majorBidi"/>
          <w:color w:val="000000"/>
          <w:lang w:bidi="ar-AE"/>
        </w:rPr>
        <w:footnoteReference w:id="200"/>
      </w:r>
      <w:r>
        <w:rPr>
          <w:rFonts w:asciiTheme="majorBidi" w:eastAsia="Calibri" w:hAnsiTheme="majorBidi" w:cstheme="majorBidi"/>
          <w:color w:val="000000"/>
          <w:lang w:bidi="ar-AE"/>
        </w:rPr>
        <w:t>.</w:t>
      </w:r>
    </w:p>
    <w:p w14:paraId="1D8343A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Thus, the unchecked use of data by Virtual giants is likely to undermine the expectations of arbitration stakeholders in an industry where the largely unchanged rules governing arbitral confidentiality and privacy were formulated well before the Virtual Revolution. Second, the transmission of personal data on the Virtual is borderless. There are no physical borders that prevent data from being transferred from one state to another in a matter of seconds.148 Emails containing sensitive information reach people living on the other </w:t>
      </w:r>
      <w:r>
        <w:rPr>
          <w:rFonts w:asciiTheme="majorBidi" w:eastAsia="Calibri" w:hAnsiTheme="majorBidi" w:cstheme="majorBidi"/>
          <w:color w:val="000000"/>
          <w:lang w:bidi="ar-AE"/>
        </w:rPr>
        <w:lastRenderedPageBreak/>
        <w:t>side of the earth virtually instantly</w:t>
      </w:r>
      <w:r>
        <w:rPr>
          <w:rStyle w:val="FootnoteReference"/>
          <w:rFonts w:asciiTheme="majorBidi" w:eastAsia="Calibri" w:hAnsiTheme="majorBidi" w:cstheme="majorBidi"/>
          <w:color w:val="000000"/>
          <w:lang w:bidi="ar-AE"/>
        </w:rPr>
        <w:footnoteReference w:id="201"/>
      </w:r>
      <w:r>
        <w:rPr>
          <w:rFonts w:asciiTheme="majorBidi" w:eastAsia="Calibri" w:hAnsiTheme="majorBidi" w:cstheme="majorBidi"/>
          <w:color w:val="000000"/>
          <w:lang w:bidi="ar-AE"/>
        </w:rPr>
        <w:t>. Cloud storage containing personal data is accessible from almost anywhere. Thus, the breach of arbitral confidentiality and privacy by modern data technologies may be far more widespread and easier to transmit than the traditional violation of personal information through mail, telephones, and face-to-face conversations. Third, and most importantly, Virtual  users, including arbitration stakeholders, are unlikely to have an adequate understanding of, or ability to avoid, the misuse of their personal data by Virtual  duly informed about the conduct that actually or potentially leads to the , individuals who intend to subscribe to digital services—such as email, cloud storage, and video conferencing platforms—are required to agree to the boilerplate terms and conditions drafted by the service providers. Such terms and conditions contain umbrella clauses that not only allow the service providers to use accumulated data for their business objectives but also offer them immunity or mitigation from liability for data breaches.149 Indeed, the central controversy is whether service subscribers have fully understood and consented to the contents of those umbrella provisions</w:t>
      </w:r>
      <w:r>
        <w:rPr>
          <w:rStyle w:val="FootnoteReference"/>
          <w:rFonts w:asciiTheme="majorBidi" w:eastAsia="Calibri" w:hAnsiTheme="majorBidi" w:cstheme="majorBidi"/>
          <w:color w:val="000000"/>
          <w:lang w:bidi="ar-AE"/>
        </w:rPr>
        <w:footnoteReference w:id="202"/>
      </w:r>
      <w:r>
        <w:rPr>
          <w:rFonts w:asciiTheme="majorBidi" w:eastAsia="Calibri" w:hAnsiTheme="majorBidi" w:cstheme="majorBidi"/>
          <w:color w:val="000000"/>
          <w:lang w:bidi="ar-AE"/>
        </w:rPr>
        <w:t>.</w:t>
      </w:r>
    </w:p>
    <w:p w14:paraId="4FC84BD8"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obstacle is that a user who ticks the consent box in a subscription agreement remains bound to that agreement unless it is nullified on grounds of a lack of informed consent or because material clauses in the agreement are deemed unreasonable. Nevertheless, the majority of users would not be able to detect and/or establish the Virtual giants’ data breaches because data subjects are unlikely to know about the use of their data and are not dutifully informed about the conduct actually or potentially leading to abuse of that data.</w:t>
      </w:r>
      <w:r>
        <w:rPr>
          <w:rStyle w:val="FootnoteReference"/>
          <w:rFonts w:asciiTheme="majorBidi" w:eastAsia="Calibri" w:hAnsiTheme="majorBidi" w:cstheme="majorBidi"/>
          <w:color w:val="000000"/>
          <w:lang w:bidi="ar-AE"/>
        </w:rPr>
        <w:footnoteReference w:id="203"/>
      </w:r>
    </w:p>
    <w:p w14:paraId="52126AF2"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The same applies to professionals in the arbitration industry, most of whom are lawyers with no distinct expertise in Virtual programming. The knowledge of digital technologies among some arbitration professionals may exceed that of the average Virtual consumer. However, that knowledge is unlikely to persuade ICT service providers to confer the arbitration professional’s special data transparency rights that they do not provide for other users of their services. Most pertinently, the potential (ab)use or misuse of confidential/private information by ICT service providers in virtual space remains outside the regulatory scope of traditional confidentiality/privacy provisions contained in arbitration laws, even though the providers’ acquisition of such information conflicts with the doctrine of confidentiality and privacy. Arbitration rules and guidelines governing the use of digital technologies do not fill this legal gap.</w:t>
      </w:r>
      <w:r>
        <w:rPr>
          <w:rStyle w:val="FootnoteReference"/>
          <w:rFonts w:asciiTheme="majorBidi" w:eastAsia="Calibri" w:hAnsiTheme="majorBidi" w:cstheme="majorBidi"/>
          <w:color w:val="000000"/>
          <w:lang w:bidi="ar-AE"/>
        </w:rPr>
        <w:footnoteReference w:id="204"/>
      </w:r>
    </w:p>
    <w:p w14:paraId="279D98B6"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By replicating, to some extent, traditional notions of confidentiality and privacy, they largely presuppose that arbitration stakeholders—especially arbitration institutions, case administrators, arbitrators, attorneys, and users—have the means to prepare for and prevent potential data breaches. This presupposition is justified, but only in part. For instance, the ICCA-NYC Bar-CPR Cybersecurity Protocol for International Arbitration provides tribunals, parties, and administering institutions with a recommended framework for information security measures. These measures consist of access controls, encryption, communications security, and physical and environmental security, among others.</w:t>
      </w:r>
      <w:r>
        <w:rPr>
          <w:rStyle w:val="FootnoteReference"/>
          <w:rFonts w:asciiTheme="majorBidi" w:eastAsia="Calibri" w:hAnsiTheme="majorBidi" w:cstheme="majorBidi"/>
          <w:color w:val="000000"/>
          <w:lang w:bidi="ar-AE"/>
        </w:rPr>
        <w:footnoteReference w:id="205"/>
      </w:r>
    </w:p>
    <w:p w14:paraId="63F84CF1"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The measures are effective in protecting arbitration from security incidents, such as malware infections, loss or theft of equipment, denial-of-service attacks, and phishing attempts. However, the Protocol does not apply specifically to digital service providers, although sensitive data in arbitral proceedings is already under their control. Nor does it recognize that institutional arbitration stakeholders who drafted arbitration rules and guidelines on cybersecurity voluntarily provided tech companies with access to such sensitive data, despite the confidential/private nature of arbitral proceedings.</w:t>
      </w:r>
    </w:p>
    <w:p w14:paraId="47AC96B0"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What remains inadequately addressed today is that traditional conceptions of confidentiality/privacy do not recognize that arbitration stakeholders who crafted security rules and guidelines understandably based them on traditional modes of protecting personal information. They did not adequately reflect the current reality and practice of virtual data collection, storage, and transmission in international arbitration proceedings at that time</w:t>
      </w:r>
      <w:r>
        <w:rPr>
          <w:rStyle w:val="FootnoteReference"/>
          <w:rFonts w:asciiTheme="majorBidi" w:eastAsia="Calibri" w:hAnsiTheme="majorBidi" w:cstheme="majorBidi"/>
          <w:color w:val="000000"/>
          <w:lang w:bidi="ar-AE"/>
        </w:rPr>
        <w:footnoteReference w:id="206"/>
      </w:r>
      <w:r>
        <w:rPr>
          <w:rFonts w:asciiTheme="majorBidi" w:eastAsia="Calibri" w:hAnsiTheme="majorBidi" w:cstheme="majorBidi"/>
          <w:color w:val="000000"/>
          <w:lang w:bidi="ar-AE"/>
        </w:rPr>
        <w:t>. The result is an increasingly pressing need to update traditional protections to maintain confidence in arbitration practice in an era marked by the widespread commercialization of privacy invasions in cyberspace. Given this situation, arbitration stakeholders should avoid using ‘party autonomy’ as an excuse for inaction, as it would lead to a loss of credibility for failing to promote measures to protect sensitive personal information</w:t>
      </w:r>
      <w:r>
        <w:rPr>
          <w:rStyle w:val="FootnoteReference"/>
          <w:rFonts w:asciiTheme="majorBidi" w:eastAsia="Calibri" w:hAnsiTheme="majorBidi" w:cstheme="majorBidi"/>
          <w:color w:val="000000"/>
          <w:lang w:bidi="ar-AE"/>
        </w:rPr>
        <w:footnoteReference w:id="207"/>
      </w:r>
      <w:r>
        <w:rPr>
          <w:rFonts w:asciiTheme="majorBidi" w:eastAsia="Calibri" w:hAnsiTheme="majorBidi" w:cstheme="majorBidi"/>
          <w:color w:val="000000"/>
          <w:lang w:bidi="ar-AE"/>
        </w:rPr>
        <w:t>.</w:t>
      </w:r>
    </w:p>
    <w:p w14:paraId="431DAF4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We don't advocate that arbitration stakeholders dramatically alter their arbitration rules and guidelines, nor do we recommend that they develop a new default legal document that adequately handles the conflict between confidentiality/ privacy and the ability of tech service </w:t>
      </w:r>
      <w:r>
        <w:rPr>
          <w:rFonts w:asciiTheme="majorBidi" w:eastAsia="Calibri" w:hAnsiTheme="majorBidi" w:cstheme="majorBidi"/>
          <w:color w:val="000000"/>
          <w:lang w:bidi="ar-AE"/>
        </w:rPr>
        <w:lastRenderedPageBreak/>
        <w:t>providers to access data. An alteration and reliance upon new soft law will merely create more formalism and fossilization in arbitral processes. As stated by ‘the more rules or guidelines established the greater the restrictions and complications created on arbitral processes and such restrictions and complications may lessen the efficiencies and conveniences provided by digital technologies.</w:t>
      </w:r>
      <w:r>
        <w:rPr>
          <w:rFonts w:asciiTheme="majorBidi" w:eastAsia="Calibri" w:hAnsiTheme="majorBidi" w:cstheme="majorBidi"/>
          <w:color w:val="000000"/>
          <w:lang w:bidi="ar-AE"/>
        </w:rPr>
        <w:br/>
        <w:t xml:space="preserve">We also do not argue that arbitration stakeholders should overlook the positive contributions of new technologies or overemphasize the negative implications to cybersecurity. We also believe that international commercial arbitration does not need to go back to the days when an arbitration was the exchange of thousands of letters and documents between parties located in different countries. The contributions to arbitration made by tech giants should be viewed as a service that is beneficial to arbitration stakeholders who can elect to use their ICT services on a voluntary basis </w:t>
      </w:r>
      <w:r>
        <w:rPr>
          <w:rStyle w:val="FootnoteReference"/>
          <w:rFonts w:asciiTheme="majorBidi" w:eastAsia="Calibri" w:hAnsiTheme="majorBidi" w:cstheme="majorBidi"/>
          <w:color w:val="000000"/>
          <w:lang w:bidi="ar-AE"/>
        </w:rPr>
        <w:footnoteReference w:id="208"/>
      </w:r>
      <w:r>
        <w:rPr>
          <w:rFonts w:asciiTheme="majorBidi" w:eastAsia="Calibri" w:hAnsiTheme="majorBidi" w:cstheme="majorBidi"/>
          <w:color w:val="000000"/>
          <w:lang w:bidi="ar-AE"/>
        </w:rPr>
        <w:t>.</w:t>
      </w:r>
    </w:p>
    <w:p w14:paraId="64DB4D94"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Harmonizing arbitration stakeholder drafted rules against the (mis)use of private/confidential arbitration related information by entities that collect, process, and distribute arbitration information will also not be recommended as this can go against the divergent law with respect to the essential elements of data protection, particularly consent, which continues to be an area where legal convergence and/or harmonization is still under contest. It is material to acknowledge the disparate power relationship between arbitration stakeholders and virtual companies/giants, and their ability to undermine stakeholders' efforts to control the collection/use of private/personal arbitration proceeding data. As advanced technology creates both risks and benefits; there exist measures that attempt to prevent the </w:t>
      </w:r>
      <w:r>
        <w:rPr>
          <w:rFonts w:asciiTheme="majorBidi" w:eastAsia="Calibri" w:hAnsiTheme="majorBidi" w:cstheme="majorBidi"/>
          <w:color w:val="000000"/>
          <w:lang w:bidi="ar-AE"/>
        </w:rPr>
        <w:lastRenderedPageBreak/>
        <w:t xml:space="preserve">abuse of private/commercial data, however these very same measures have been compromised by technologies that can circumvent them </w:t>
      </w:r>
      <w:r>
        <w:rPr>
          <w:rStyle w:val="FootnoteReference"/>
          <w:rFonts w:asciiTheme="majorBidi" w:eastAsia="Calibri" w:hAnsiTheme="majorBidi" w:cstheme="majorBidi"/>
          <w:color w:val="000000"/>
          <w:lang w:bidi="ar-AE"/>
        </w:rPr>
        <w:footnoteReference w:id="209"/>
      </w:r>
      <w:r>
        <w:rPr>
          <w:rFonts w:asciiTheme="majorBidi" w:eastAsia="Calibri" w:hAnsiTheme="majorBidi" w:cstheme="majorBidi"/>
          <w:color w:val="000000"/>
          <w:lang w:bidi="ar-AE"/>
        </w:rPr>
        <w:t xml:space="preserve">. </w:t>
      </w:r>
    </w:p>
    <w:p w14:paraId="4C3C0579"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Arbitration and legal regulators will have to worry about the loss of passwords, access codes, algorithmic buffers and firewalls. But the laws, regulations and standards that govern conduct can provide some basis for addressing the threat posed by cyber-attacks. Arbitrators may also use the rules of procedure and evidence to identify cyber threats. Arbitrators will likely find it difficult to counteract undetected cyber threats, or those that could not be remedied, in a world where there is rapid technological change and therefore rapid technological development far beyond regulation. This is certainly not a new challenge that has arisen for legal and arbitration regulators who are attempting to keep pace with the development of their regulatory targets. Rather, this will necessitate that they take on a function, albeit an incremental one, to develop a viable response to cyber threats </w:t>
      </w:r>
      <w:r>
        <w:rPr>
          <w:rStyle w:val="FootnoteReference"/>
          <w:rFonts w:asciiTheme="majorBidi" w:eastAsia="Calibri" w:hAnsiTheme="majorBidi" w:cstheme="majorBidi"/>
          <w:color w:val="000000"/>
          <w:lang w:bidi="ar-AE"/>
        </w:rPr>
        <w:footnoteReference w:id="210"/>
      </w:r>
      <w:r>
        <w:rPr>
          <w:rFonts w:asciiTheme="majorBidi" w:eastAsia="Calibri" w:hAnsiTheme="majorBidi" w:cstheme="majorBidi"/>
          <w:color w:val="000000"/>
          <w:lang w:bidi="ar-AE"/>
        </w:rPr>
        <w:t>.</w:t>
      </w:r>
    </w:p>
    <w:p w14:paraId="35AAE393"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Therefore, the pragmatic solution lies with arbitration stakeholders in incorporating these important elements within their rules and guidelines to close the gap between modern and traditional definitions of private and confidential information. There is an option to follow international guidelines that would limit the transfer of data about stakeholders by, for example, using the UNCITRAL's Legislative Guide on Insolvency Law or the World Bank's Principles for Effective Insolvency and Creditor/Debtor Regimes. A second option is to select a seat for arbitration in countries that provide extensive protection for private and confidential information, either through proceeding against Big Data for violations of privacy and </w:t>
      </w:r>
      <w:r>
        <w:rPr>
          <w:rFonts w:asciiTheme="majorBidi" w:eastAsia="Calibri" w:hAnsiTheme="majorBidi" w:cstheme="majorBidi"/>
          <w:color w:val="000000"/>
          <w:lang w:bidi="ar-AE"/>
        </w:rPr>
        <w:lastRenderedPageBreak/>
        <w:t xml:space="preserve">confidentiality or by being able to claim punitive damages against Big Data for violations of privacy and confidentiality in addition to claiming general damages. However, reputational harm to Big Data is likely to be the most substantial threat to Big Data because of its sensitivity to negative public relations and its desire to avoid repetitive legal claims against it </w:t>
      </w:r>
      <w:r>
        <w:rPr>
          <w:rStyle w:val="FootnoteReference"/>
          <w:rFonts w:asciiTheme="majorBidi" w:eastAsia="Calibri" w:hAnsiTheme="majorBidi" w:cstheme="majorBidi"/>
          <w:color w:val="000000"/>
          <w:lang w:bidi="ar-AE"/>
        </w:rPr>
        <w:footnoteReference w:id="211"/>
      </w:r>
      <w:r>
        <w:rPr>
          <w:rFonts w:asciiTheme="majorBidi" w:eastAsia="Calibri" w:hAnsiTheme="majorBidi" w:cstheme="majorBidi"/>
          <w:color w:val="000000"/>
          <w:lang w:bidi="ar-AE"/>
        </w:rPr>
        <w:t>.</w:t>
      </w:r>
    </w:p>
    <w:p w14:paraId="77E95877" w14:textId="77777777" w:rsidR="00F073C0" w:rsidRPr="008819FD" w:rsidRDefault="00F073C0" w:rsidP="00663759">
      <w:pPr>
        <w:pStyle w:val="Heading2"/>
        <w:rPr>
          <w:rFonts w:asciiTheme="majorBidi" w:hAnsiTheme="majorBidi" w:cstheme="majorBidi"/>
          <w:sz w:val="24"/>
          <w:szCs w:val="24"/>
          <w:lang w:val="en-GB" w:bidi="en-US"/>
        </w:rPr>
      </w:pPr>
      <w:bookmarkStart w:id="99" w:name="_Toc190813286"/>
      <w:bookmarkStart w:id="100" w:name="_Toc209626930"/>
      <w:bookmarkStart w:id="101" w:name="_Toc217491567"/>
      <w:bookmarkStart w:id="102" w:name="_Toc221804517"/>
      <w:r>
        <w:rPr>
          <w:rFonts w:asciiTheme="majorBidi" w:hAnsiTheme="majorBidi" w:cstheme="majorBidi"/>
          <w:sz w:val="24"/>
          <w:szCs w:val="24"/>
          <w:lang w:val="en-GB" w:bidi="en-US"/>
        </w:rPr>
        <w:t>Conclusion</w:t>
      </w:r>
      <w:bookmarkEnd w:id="99"/>
      <w:bookmarkEnd w:id="100"/>
      <w:bookmarkEnd w:id="101"/>
      <w:bookmarkEnd w:id="102"/>
    </w:p>
    <w:p w14:paraId="4DF3B3CF"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emergence of online arbitration platforms and advanced digital tools has fundamentally transformed contemporary dispute resolution practices. By incorporating technologies such as AI-assisted legal research, blockchain-based security mechanisms, and real-time transcription services, online arbitration has enhanced procedural efficiency, strengthened evidentiary reliability, and facilitated broader participation across jurisdictions. These innovations have streamlined case administration, reduced logistical barriers, and increased transparency throughout arbitral proceedings.</w:t>
      </w:r>
    </w:p>
    <w:p w14:paraId="1945D94E" w14:textId="77777777" w:rsidR="00F073C0" w:rsidRPr="008819FD" w:rsidRDefault="00F073C0" w:rsidP="00663759">
      <w:pPr>
        <w:shd w:val="clear" w:color="auto" w:fill="FFFFFF"/>
        <w:spacing w:after="0"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As digital technologies continue to advance, arbitral institutions face the ongoing responsibility of ensuring that online arbitration frameworks remain legally sound, resilient against cybersecurity risks, and accessible within diverse and evolving legal systems. Sustaining this balance will be essential to preserving the legitimacy, effectiveness, and global acceptance of online arbitration as a modern dispute resolution mechanism.</w:t>
      </w:r>
    </w:p>
    <w:p w14:paraId="27AE354B" w14:textId="77777777" w:rsidR="00F073C0" w:rsidRPr="008819FD" w:rsidRDefault="00F073C0" w:rsidP="0099552A">
      <w:pPr>
        <w:shd w:val="clear" w:color="auto" w:fill="FFFFFF"/>
        <w:spacing w:after="0" w:line="480" w:lineRule="auto"/>
        <w:ind w:firstLine="360"/>
        <w:rPr>
          <w:rFonts w:asciiTheme="majorBidi" w:eastAsia="Calibri" w:hAnsiTheme="majorBidi" w:cstheme="majorBidi"/>
          <w:color w:val="000000"/>
          <w:lang w:bidi="ar-AE"/>
        </w:rPr>
      </w:pPr>
    </w:p>
    <w:p w14:paraId="613F3B50" w14:textId="77777777" w:rsidR="00F073C0" w:rsidRPr="008819FD" w:rsidRDefault="00F073C0" w:rsidP="0099552A">
      <w:pPr>
        <w:shd w:val="clear" w:color="auto" w:fill="FFFFFF"/>
        <w:spacing w:line="480" w:lineRule="auto"/>
        <w:rPr>
          <w:rFonts w:asciiTheme="majorBidi" w:eastAsia="Calibri" w:hAnsiTheme="majorBidi" w:cstheme="majorBidi"/>
          <w:color w:val="000000"/>
          <w:lang w:bidi="ar-AE"/>
        </w:rPr>
      </w:pPr>
    </w:p>
    <w:p w14:paraId="51D34753" w14:textId="77777777" w:rsidR="00C239D7" w:rsidRPr="008819FD" w:rsidRDefault="00C239D7" w:rsidP="0099552A">
      <w:pPr>
        <w:spacing w:line="480" w:lineRule="auto"/>
        <w:rPr>
          <w:rFonts w:asciiTheme="majorBidi" w:hAnsiTheme="majorBidi" w:cstheme="majorBidi"/>
        </w:rPr>
      </w:pPr>
    </w:p>
    <w:p w14:paraId="31641E22" w14:textId="77777777" w:rsidR="00C239D7" w:rsidRPr="008819FD" w:rsidRDefault="00C239D7" w:rsidP="0099552A">
      <w:pPr>
        <w:spacing w:line="480" w:lineRule="auto"/>
        <w:rPr>
          <w:rFonts w:asciiTheme="majorBidi" w:hAnsiTheme="majorBidi" w:cstheme="majorBidi"/>
        </w:rPr>
      </w:pPr>
    </w:p>
    <w:p w14:paraId="68E4D62A" w14:textId="5A1E1589" w:rsidR="00F073C0" w:rsidRPr="008819FD" w:rsidRDefault="00FD07D2" w:rsidP="00157A6B">
      <w:pPr>
        <w:pStyle w:val="Heading1"/>
        <w:rPr>
          <w:rFonts w:asciiTheme="majorBidi" w:hAnsiTheme="majorBidi" w:cstheme="majorBidi"/>
        </w:rPr>
      </w:pPr>
      <w:bookmarkStart w:id="103" w:name="_Toc221804518"/>
      <w:r>
        <w:rPr>
          <w:rFonts w:asciiTheme="majorBidi" w:hAnsiTheme="majorBidi" w:cstheme="majorBidi"/>
        </w:rPr>
        <w:t xml:space="preserve">: </w:t>
      </w:r>
      <w:r w:rsidR="00157A6B">
        <w:rPr>
          <w:rFonts w:asciiTheme="majorBidi" w:hAnsiTheme="majorBidi" w:cstheme="majorBidi"/>
        </w:rPr>
        <w:t>Arbitration in the United Arab Emirates and Comparative International Practice</w:t>
      </w:r>
      <w:bookmarkEnd w:id="103"/>
    </w:p>
    <w:p w14:paraId="2DF904F7" w14:textId="5C5DA994" w:rsidR="00F073C0" w:rsidRPr="008819FD" w:rsidRDefault="00F073C0" w:rsidP="00157A6B">
      <w:pPr>
        <w:pStyle w:val="NormalWeb"/>
        <w:spacing w:line="480" w:lineRule="auto"/>
        <w:ind w:firstLine="720"/>
        <w:rPr>
          <w:rFonts w:asciiTheme="majorBidi" w:hAnsiTheme="majorBidi" w:cstheme="majorBidi"/>
        </w:rPr>
      </w:pPr>
      <w:r>
        <w:rPr>
          <w:rFonts w:asciiTheme="majorBidi" w:hAnsiTheme="majorBidi" w:cstheme="majorBidi"/>
        </w:rPr>
        <w:t xml:space="preserve">Arbitration has emerged as a central mechanism for dispute resolution in the </w:t>
      </w:r>
      <w:r>
        <w:rPr>
          <w:rStyle w:val="whitespace-normal"/>
          <w:rFonts w:asciiTheme="majorBidi" w:eastAsiaTheme="majorEastAsia" w:hAnsiTheme="majorBidi" w:cstheme="majorBidi"/>
        </w:rPr>
        <w:t>United Arab Emirates</w:t>
      </w:r>
      <w:r>
        <w:rPr>
          <w:rFonts w:asciiTheme="majorBidi" w:hAnsiTheme="majorBidi" w:cstheme="majorBidi"/>
        </w:rPr>
        <w:t xml:space="preserve">, particularly in the context of commercial transactions and international trade. Over recent decades, the UAE has positioned itself as a prominent arbitration-friendly jurisdiction by adopting modern legislative reforms and aligning its legal framework with internationally recognised arbitration standards. As a global commercial hub, the UAE has acknowledged the necessity of efficient, predictable, and enforceable dispute resolution mechanisms, prompting the establishment of specialised arbitration centre s, sustained legislative development, and </w:t>
      </w:r>
      <w:r w:rsidR="00157A6B">
        <w:rPr>
          <w:rFonts w:asciiTheme="majorBidi" w:hAnsiTheme="majorBidi" w:cstheme="majorBidi"/>
        </w:rPr>
        <w:t xml:space="preserve">increasing, though not uniformly consistent, </w:t>
      </w:r>
      <w:r>
        <w:rPr>
          <w:rFonts w:asciiTheme="majorBidi" w:hAnsiTheme="majorBidi" w:cstheme="majorBidi"/>
        </w:rPr>
        <w:t>judicial support for the recognition and enforcement of arbitral awards.</w:t>
      </w:r>
      <w:r w:rsidR="00157A6B" w:rsidRPr="00157A6B">
        <w:rPr>
          <w:rFonts w:asciiTheme="majorBidi" w:hAnsiTheme="majorBidi" w:cstheme="majorBidi"/>
        </w:rPr>
        <w:t xml:space="preserve"> </w:t>
      </w:r>
      <w:r w:rsidR="00157A6B">
        <w:rPr>
          <w:rFonts w:asciiTheme="majorBidi" w:hAnsiTheme="majorBidi" w:cstheme="majorBidi"/>
        </w:rPr>
        <w:t xml:space="preserve">. The evolution of the case law on the signing of arbitral awards illustrates that this support has not always been uniform. The Dubai Court of Cassation initially held, in Case No. 403/2020 and again in Case No. 109/2022, that an award which was not signed on the pages containing the reasoning and the dispositive section could be refused enforcement on public-policy grounds, whereas the Ras Al-Khaimah Court of Cassation adopted the opposite position in Case No. 5/2024. This divergence was ultimately resolved by the Federal-Local Judicial Principles Unification Authority in Decision </w:t>
      </w:r>
      <w:r w:rsidR="00157A6B">
        <w:rPr>
          <w:rFonts w:asciiTheme="majorBidi" w:hAnsiTheme="majorBidi" w:cstheme="majorBidi"/>
        </w:rPr>
        <w:lastRenderedPageBreak/>
        <w:t>No. 1 of 2025, which held that the arbitrators’ signature on the final page of the award is sufficient and which is binding on all courts in the State.</w:t>
      </w:r>
      <w:r w:rsidR="00157A6B">
        <w:rPr>
          <w:rStyle w:val="FootnoteReference"/>
          <w:rFonts w:asciiTheme="majorBidi" w:hAnsiTheme="majorBidi" w:cstheme="majorBidi"/>
        </w:rPr>
        <w:footnoteReference w:id="212"/>
      </w:r>
    </w:p>
    <w:p w14:paraId="018C2A62" w14:textId="0A73290B" w:rsidR="00157A6B" w:rsidRPr="008819FD" w:rsidRDefault="00F073C0" w:rsidP="00157A6B">
      <w:pPr>
        <w:pStyle w:val="NormalWeb"/>
        <w:spacing w:line="480" w:lineRule="auto"/>
        <w:ind w:firstLine="720"/>
        <w:rPr>
          <w:rFonts w:asciiTheme="majorBidi" w:hAnsiTheme="majorBidi" w:cstheme="majorBidi"/>
        </w:rPr>
      </w:pPr>
      <w:r>
        <w:rPr>
          <w:rFonts w:asciiTheme="majorBidi" w:hAnsiTheme="majorBidi" w:cstheme="majorBidi"/>
        </w:rPr>
        <w:t xml:space="preserve">The UAE’s arbitration regime is principally governed by Federal Law No. 6 of 2018 on Arbitration, which is largely modelled on the </w:t>
      </w:r>
      <w:r>
        <w:rPr>
          <w:rStyle w:val="whitespace-normal"/>
          <w:rFonts w:asciiTheme="majorBidi" w:eastAsiaTheme="majorEastAsia" w:hAnsiTheme="majorBidi" w:cstheme="majorBidi"/>
        </w:rPr>
        <w:t>UNCITRAL Model Law on International Commercial Arbitration</w:t>
      </w:r>
      <w:r>
        <w:rPr>
          <w:rFonts w:asciiTheme="majorBidi" w:hAnsiTheme="majorBidi" w:cstheme="majorBidi"/>
        </w:rPr>
        <w:t xml:space="preserve">. This legislation provides a comprehensive procedural framework for the conduct of arbitration proceedings within the UAE, enhancing legal certainty and reinforcing the enforceability of arbitral awards at both the domestic and international levels. Furthermore, the UAE’s accession to the </w:t>
      </w:r>
      <w:r>
        <w:rPr>
          <w:rStyle w:val="whitespace-normal"/>
          <w:rFonts w:asciiTheme="majorBidi" w:eastAsiaTheme="majorEastAsia" w:hAnsiTheme="majorBidi" w:cstheme="majorBidi"/>
        </w:rPr>
        <w:t>New York Convention on the Recognition and Enforcement of Foreign Arbitral Awards</w:t>
      </w:r>
      <w:r w:rsidR="00157A6B">
        <w:rPr>
          <w:rFonts w:asciiTheme="majorBidi" w:hAnsiTheme="majorBidi" w:cstheme="majorBidi"/>
        </w:rPr>
        <w:t xml:space="preserve"> effected by Federal Decree No. 43 of 2006, has</w:t>
      </w:r>
      <w:r>
        <w:rPr>
          <w:rFonts w:asciiTheme="majorBidi" w:hAnsiTheme="majorBidi" w:cstheme="majorBidi"/>
        </w:rPr>
        <w:t xml:space="preserve"> significantly strengthened its standing as a reliable and internationally compliant arbitration jurisdiction, </w:t>
      </w:r>
      <w:r w:rsidR="00157A6B">
        <w:rPr>
          <w:rFonts w:asciiTheme="majorBidi" w:hAnsiTheme="majorBidi" w:cstheme="majorBidi"/>
        </w:rPr>
        <w:t>Because the UAE acceded without exercising the reciprocity reservation permitted under Article I(3), awards rendered in the UAE are, in principle, entitled to recognition and enforcement in the courts of other Contracting States, subject only to the limited grounds for refusal set out in Article V of the Convention.</w:t>
      </w:r>
    </w:p>
    <w:p w14:paraId="45404D4C" w14:textId="35975E67" w:rsidR="00F073C0" w:rsidRPr="008819FD" w:rsidRDefault="00F073C0" w:rsidP="00157A6B">
      <w:pPr>
        <w:pStyle w:val="NormalWeb"/>
        <w:spacing w:line="480" w:lineRule="auto"/>
        <w:ind w:firstLine="720"/>
        <w:rPr>
          <w:rFonts w:asciiTheme="majorBidi" w:hAnsiTheme="majorBidi" w:cstheme="majorBidi"/>
        </w:rPr>
      </w:pPr>
    </w:p>
    <w:p w14:paraId="4EE24715" w14:textId="77777777" w:rsidR="00F073C0" w:rsidRPr="008819FD" w:rsidRDefault="00F073C0" w:rsidP="0099552A">
      <w:pPr>
        <w:rPr>
          <w:rFonts w:asciiTheme="majorBidi" w:eastAsia="Calibri" w:hAnsiTheme="majorBidi" w:cstheme="majorBidi"/>
          <w:lang w:bidi="en-US"/>
        </w:rPr>
      </w:pPr>
    </w:p>
    <w:p w14:paraId="59CDCEBD" w14:textId="77777777" w:rsidR="00F073C0" w:rsidRPr="008819FD" w:rsidRDefault="00F073C0" w:rsidP="00663759">
      <w:pPr>
        <w:pStyle w:val="Heading2"/>
        <w:rPr>
          <w:rFonts w:asciiTheme="majorBidi" w:eastAsia="Calibri" w:hAnsiTheme="majorBidi" w:cstheme="majorBidi"/>
          <w:sz w:val="24"/>
          <w:szCs w:val="24"/>
        </w:rPr>
      </w:pPr>
      <w:bookmarkStart w:id="104" w:name="_Toc190813289"/>
      <w:bookmarkStart w:id="105" w:name="_Toc209626933"/>
      <w:bookmarkStart w:id="106" w:name="_Toc217491570"/>
      <w:bookmarkStart w:id="107" w:name="_Toc221804519"/>
      <w:r>
        <w:rPr>
          <w:rFonts w:asciiTheme="majorBidi" w:eastAsia="Calibri" w:hAnsiTheme="majorBidi" w:cstheme="majorBidi"/>
          <w:sz w:val="24"/>
          <w:szCs w:val="24"/>
        </w:rPr>
        <w:lastRenderedPageBreak/>
        <w:t>Electronic Arbitration Before the Arbitration Dispute (Agreement - Formation)</w:t>
      </w:r>
      <w:bookmarkEnd w:id="104"/>
      <w:bookmarkEnd w:id="105"/>
      <w:bookmarkEnd w:id="106"/>
      <w:bookmarkEnd w:id="107"/>
    </w:p>
    <w:p w14:paraId="478107E5" w14:textId="77777777" w:rsidR="00F073C0" w:rsidRPr="008819FD" w:rsidRDefault="00EC31B2" w:rsidP="009F5ACD">
      <w:pPr>
        <w:pStyle w:val="Heading3"/>
        <w:rPr>
          <w:rFonts w:asciiTheme="majorBidi" w:hAnsiTheme="majorBidi" w:cstheme="majorBidi"/>
        </w:rPr>
      </w:pPr>
      <w:bookmarkStart w:id="108" w:name="_Toc190813290"/>
      <w:bookmarkStart w:id="109" w:name="_Toc209626934"/>
      <w:bookmarkStart w:id="110" w:name="_Toc217491571"/>
      <w:bookmarkStart w:id="111" w:name="_Toc221804520"/>
      <w:r>
        <w:rPr>
          <w:rFonts w:asciiTheme="majorBidi" w:hAnsiTheme="majorBidi" w:cstheme="majorBidi"/>
        </w:rPr>
        <w:t>3.1.1 Electronic Arbitration Agreement</w:t>
      </w:r>
      <w:bookmarkEnd w:id="108"/>
      <w:bookmarkEnd w:id="109"/>
      <w:bookmarkEnd w:id="110"/>
      <w:bookmarkEnd w:id="111"/>
    </w:p>
    <w:p w14:paraId="3C18B0DC"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From our perspective, an arbitration agreement is a procedural composite contract consisting of two separate agreements. The first contract is between the parties themselves, taking the form of an arbitration clause, an arbitration agreement, or an arbitration by reference (Article 5 of the UAE Arbitration Law). The second contract is between the parties and the person selected as the arbitrator (Article 10(4) of the UAE Arbitration Law).</w:t>
      </w:r>
      <w:r>
        <w:rPr>
          <w:rFonts w:asciiTheme="majorBidi" w:hAnsiTheme="majorBidi" w:cstheme="majorBidi"/>
        </w:rPr>
        <w:br/>
      </w:r>
      <w:r>
        <w:rPr>
          <w:rFonts w:asciiTheme="majorBidi" w:hAnsiTheme="majorBidi" w:cstheme="majorBidi"/>
        </w:rPr>
        <w:br/>
        <w:t>This procedural contract is governed by the procedural law under which it was established, whether the arbitration law or the arbitration provisions within other laws. This procedural law prioritizes the agreement by granting procedural and substantive rules to govern the dispute. If no such agreement exists, the arbitral tribunal has the authority to determine the applicable procedures and the governing law for the subject matter of the dispute</w:t>
      </w:r>
      <w:r>
        <w:rPr>
          <w:rFonts w:asciiTheme="majorBidi" w:eastAsia="Calibri" w:hAnsiTheme="majorBidi" w:cstheme="majorBidi"/>
          <w:color w:val="000000"/>
        </w:rPr>
        <w:t>.</w:t>
      </w:r>
      <w:r>
        <w:rPr>
          <w:rStyle w:val="FootnoteReference"/>
          <w:rFonts w:asciiTheme="majorBidi" w:eastAsia="Calibri" w:hAnsiTheme="majorBidi" w:cstheme="majorBidi"/>
          <w:color w:val="000000"/>
        </w:rPr>
        <w:footnoteReference w:id="213"/>
      </w:r>
      <w:r>
        <w:rPr>
          <w:rFonts w:asciiTheme="majorBidi" w:eastAsia="Calibri" w:hAnsiTheme="majorBidi" w:cstheme="majorBidi"/>
          <w:color w:val="000000"/>
        </w:rPr>
        <w:t>.</w:t>
      </w:r>
    </w:p>
    <w:p w14:paraId="1A45CB8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Article 23 of the UAE Arbitration Law affirms the central role of party autonomy in determining arbitral procedure. It provides that, subject to Article 10(2), the parties are free to agree on the procedural rules to be followed by the arbitral tribunal, including the adoption of the rules of any arbitral institution or organisation, whether located within the UAE or abroad. Where the parties fail to reach such an agreement, the arbitral tribunal is vested with discretionary authority to determine the procedures it considers appropriate, provided that </w:t>
      </w:r>
      <w:r>
        <w:rPr>
          <w:rFonts w:asciiTheme="majorBidi" w:eastAsia="Calibri" w:hAnsiTheme="majorBidi" w:cstheme="majorBidi"/>
          <w:color w:val="000000"/>
        </w:rPr>
        <w:lastRenderedPageBreak/>
        <w:t>these procedures do not contravene the fundamental principles of litigation or the international conventions to which the UAE is a party.</w:t>
      </w:r>
    </w:p>
    <w:p w14:paraId="029CD6B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This procedural autonomy is further reinforced by Article 12 of the same law, which regulates decision-making within the arbitral tribunal. Where the tribunal consists of more than one arbitrator, decisions relating to arbitral procedure are to be taken by a majority vote, unless the parties have agreed otherwise. Procedural decisions may also be issued by the presiding arbitrator alone, where such authority has been conferred by the parties or by the other members of the tribunal. Together, these provisions establish a flexible procedural framework that balances party autonomy with the effective management of arbitral proceedings.</w:t>
      </w:r>
    </w:p>
    <w:p w14:paraId="55E56BC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validity of an arbitration agreement under UAE law is, however, contingent upon compliance with the requirement of writing. Article 7(1) of the Arbitration Law provides that an arbitration agreement must be in writing, failing which it is null and void. Article 7(2) adopts a broad and technology-neutral approach to the concept of writing, recognising that this requirement is satisfied in multiple forms. These include agreements contained in a written document signed by the parties; agreements evidenced through exchanged correspondence or other written communications; agreements concluded by electronic messages in accordance with the UAE’s electronic transactions regulations; arbitration agreements incorporated by reference to model contracts or other documents; agreements recorded in court hearing minutes; agreements reflected in written memoranda exchanged during arbitral proceedings; and agreements acknowledged before the judiciary.</w:t>
      </w:r>
    </w:p>
    <w:p w14:paraId="5D6416C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Prior to the enactment of Federal Law No. 6 of 2018, the question of whether electronic arbitration agreements satisfied the statutory writing requirement was the subject of </w:t>
      </w:r>
      <w:r>
        <w:rPr>
          <w:rFonts w:asciiTheme="majorBidi" w:eastAsia="Calibri" w:hAnsiTheme="majorBidi" w:cstheme="majorBidi"/>
          <w:color w:val="000000"/>
        </w:rPr>
        <w:lastRenderedPageBreak/>
        <w:t>significant doctrinal debate. This debate was shaped by two competing schools of thought. The first adopted a restrictive interpretation, arguing that electronic documents could not fulfil the writing requirement contemplated by international conventions or domestic legislation drafted with traditional paper-based documents in mind. Proponents of this view maintained that electronic communications lacked evidentiary value and pointed to instruments such as the New York Convention on the Recognition and Enforcement of Foreign Arbitral Awards, particularly Article 2(2), and Article 7(2) of the UNCITRAL Model Law on International Commercial Arbitration (1985), as reflecting a conventional understanding of written form.</w:t>
      </w:r>
    </w:p>
    <w:p w14:paraId="63CA68DE" w14:textId="1650095C"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opposing view advanced a functional interpretation of the writing requirement, contending that electronic communications should be regarded as equivalent to traditional written documents. According to this approach, the decisive consideration is not the physical form of the writing or signature, but rather their legal function—namely, the ability to record consent and provide reliable evidence of the parties’ agreement. This perspective has been endorsed at the international level through UNCITRAL instruments, including the Convention on the Use of Electronic Communications in International Contracts, particularly Articles 9 and 20. At the domestic level, similar recognition has been afforded through legislation governing electronic transactions, most notably UAE Federal Law No. 1 of 2006 on Electronic Transactions and E-Commerce.</w:t>
      </w:r>
      <w:r w:rsidR="00157A6B" w:rsidRPr="00157A6B">
        <w:rPr>
          <w:rFonts w:asciiTheme="majorBidi" w:hAnsiTheme="majorBidi" w:cstheme="majorBidi"/>
        </w:rPr>
        <w:t xml:space="preserve"> </w:t>
      </w:r>
      <w:r w:rsidR="00157A6B">
        <w:rPr>
          <w:rFonts w:asciiTheme="majorBidi" w:hAnsiTheme="majorBidi" w:cstheme="majorBidi"/>
        </w:rPr>
        <w:t xml:space="preserve">Among commentators, the functional interpretation has been advanced most influentially by Gary Born, and it was reinforced at the institutional level by the UNCITRAL Recommendation of 7 July 2006 regarding the interpretation of Article II(2) and Article VII(1) of the New York Convention, and by the revised Article 7 of the UNCITRAL Model Law (as amended in 2006), Option I of which expressly recognises an </w:t>
      </w:r>
      <w:r w:rsidR="00157A6B">
        <w:rPr>
          <w:rFonts w:asciiTheme="majorBidi" w:hAnsiTheme="majorBidi" w:cstheme="majorBidi"/>
        </w:rPr>
        <w:lastRenderedPageBreak/>
        <w:t>arbitration agreement concluded by electronic communication as satisfying the writing requirement.</w:t>
      </w:r>
      <w:r w:rsidR="00157A6B">
        <w:rPr>
          <w:rStyle w:val="FootnoteReference"/>
          <w:rFonts w:asciiTheme="majorBidi" w:hAnsiTheme="majorBidi" w:cstheme="majorBidi"/>
        </w:rPr>
        <w:footnoteReference w:id="214"/>
      </w:r>
    </w:p>
    <w:p w14:paraId="6725FCA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By expressly recognising electronic communications as a valid means of satisfying the writing requirement, the UAE Arbitration Law resolves earlier doctrinal uncertainty and aligns the UAE’s arbitration framework with contemporary international standards. This approach supports the enforceability of electronic arbitration agreements and provides a clear legal foundation for both online and technology-assisted arbitration proceedings within the UAE.</w:t>
      </w:r>
    </w:p>
    <w:p w14:paraId="375AF4CD"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Moreover, Article 17 (bis) of the UAE Law of Evidence in Civil and Commercial Transactions expressly affirms the legal validity of electronic documents and electronic signatures for evidentiary purposes. On this basis, contractual consent may be validly established through electronic signatures, the electronic exchange of documents, or even through conduct whereby one party asserts the existence of an agreement, and the other party does not dispute it</w:t>
      </w:r>
      <w:r>
        <w:rPr>
          <w:rStyle w:val="FootnoteReference"/>
          <w:rFonts w:asciiTheme="majorBidi" w:eastAsia="Calibri" w:hAnsiTheme="majorBidi" w:cstheme="majorBidi"/>
          <w:color w:val="000000"/>
        </w:rPr>
        <w:footnoteReference w:id="215"/>
      </w:r>
      <w:r>
        <w:rPr>
          <w:rFonts w:asciiTheme="majorBidi" w:eastAsia="Calibri" w:hAnsiTheme="majorBidi" w:cstheme="majorBidi"/>
          <w:color w:val="000000"/>
        </w:rPr>
        <w:t>.</w:t>
      </w:r>
    </w:p>
    <w:p w14:paraId="376E3DA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Accordingly, an arbitration agreement—whether formulated as an arbitration clause within a contract or as a separate submission agreement—may be validly concluded through electronic means. This includes agreements executed via electronic writing, digital communications, and authenticated electronic signatures. Within the UAE legal system, such electronically concluded arbitration agreements are no longer merely accepted in practice but are expressly recognised and codified in law.</w:t>
      </w:r>
    </w:p>
    <w:p w14:paraId="1B40201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In addition, parties may adopt supplementary or ancillary agreements alongside traditional arbitration rules to regulate the technical and procedural dimensions of electronic arbitration. Such arrangements can address issues such as digital communications, electronic evidence handling, and cybersecurity measures, thereby ensuring that the use of conventional arbitral procedures within a technologically enabled arbitration framework does not give rise to legal or procedural complications.</w:t>
      </w:r>
      <w:r>
        <w:rPr>
          <w:rStyle w:val="FootnoteReference"/>
          <w:rFonts w:asciiTheme="majorBidi" w:eastAsia="Calibri" w:hAnsiTheme="majorBidi" w:cstheme="majorBidi"/>
          <w:color w:val="000000"/>
        </w:rPr>
        <w:footnoteReference w:id="216"/>
      </w:r>
      <w:r>
        <w:rPr>
          <w:rFonts w:asciiTheme="majorBidi" w:eastAsia="Calibri" w:hAnsiTheme="majorBidi" w:cstheme="majorBidi"/>
          <w:color w:val="000000"/>
        </w:rPr>
        <w:t>.</w:t>
      </w:r>
    </w:p>
    <w:p w14:paraId="061ACAF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Furthermore, agreements concluded between the relevant stakeholders should be duly authenticated prior to engaging in electronic commerce, particularly in jurisdictions and within international organisations that have not yet formally recognised electronic arbitration. Such authentication plays a critical role in enhancing legal certainty and facilitating the recognition and enforcement of arbitral awards rendered through electronic means.</w:t>
      </w:r>
    </w:p>
    <w:p w14:paraId="4CE97F0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p>
    <w:p w14:paraId="34BB482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A further issue of practical and legal significance concerns the determination of the legal seat of electronic arbitration. Specifically, uncertainty arises as to whether the seat should be linked to the physical location of the arbitrator or, alternatively, to the procedural law selected by the parties to govern the arbitration.</w:t>
      </w:r>
    </w:p>
    <w:p w14:paraId="0FCC99E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p>
    <w:p w14:paraId="3738E532" w14:textId="081FD30B" w:rsidR="00F073C0" w:rsidRPr="008819FD" w:rsidRDefault="00223311"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Notwithstanding the virtual nature of electronic arbitration, every individual arbitration must nonetheless have a determinate juridical seat that anchors it to a particular legal system. The choice of seat is, in the first instance, a matter for the autonomy of the parties; where the </w:t>
      </w:r>
      <w:r>
        <w:rPr>
          <w:rFonts w:asciiTheme="majorBidi" w:eastAsia="Calibri" w:hAnsiTheme="majorBidi" w:cstheme="majorBidi"/>
          <w:color w:val="000000"/>
        </w:rPr>
        <w:lastRenderedPageBreak/>
        <w:t>parties have not made such a choice, the applicable institutional rules or the arbitral tribunal should determine a default seat. It is important to distinguish the seat from the institution that administers the proceedings: a branch or representative office of an arbitral institution such as the office maintained by the International Chamber of Commerce at the ADGM Dispute Resolution Hearing Centre may administer a case and provide hearing facilities without itself constituting the juridical seat. Identifying the seat in this manner is essential to ensure the application of a determinate procedural law and to support judicial supervision, enforcement, and legal certainty in electronically conducted arbitral proceedings.</w:t>
      </w:r>
      <w:r w:rsidR="00F073C0">
        <w:rPr>
          <w:rStyle w:val="FootnoteReference"/>
          <w:rFonts w:asciiTheme="majorBidi" w:eastAsia="Calibri" w:hAnsiTheme="majorBidi" w:cstheme="majorBidi"/>
          <w:color w:val="000000"/>
        </w:rPr>
        <w:footnoteReference w:id="217"/>
      </w:r>
      <w:r w:rsidR="00F073C0">
        <w:rPr>
          <w:rFonts w:asciiTheme="majorBidi" w:eastAsia="Calibri" w:hAnsiTheme="majorBidi" w:cstheme="majorBidi"/>
          <w:color w:val="000000"/>
        </w:rPr>
        <w:t>.</w:t>
      </w:r>
    </w:p>
    <w:p w14:paraId="1CBD846F"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In both scenarios—whether the parties conclude an arbitration clause or a separate arbitration submission agreement—the arbitration agreement may be validly formed through electronic means. Where the agreement takes the form of an arbitration submission agreement, it is concluded online through the electronic exchange of offer and acceptance using digital communication tools. Where it takes the form of an arbitration clause, the principal contract itself is executed electronically and expressly incorporates an electronic mechanism for the resolution of disputes arising from, or in connection with, the contract.</w:t>
      </w:r>
    </w:p>
    <w:p w14:paraId="2D8E64ED" w14:textId="77777777" w:rsidR="00F073C0" w:rsidRPr="008819FD" w:rsidRDefault="00F073C0" w:rsidP="00663759">
      <w:pPr>
        <w:pStyle w:val="NormalWeb"/>
        <w:spacing w:line="480" w:lineRule="auto"/>
        <w:ind w:firstLine="720"/>
        <w:rPr>
          <w:rFonts w:asciiTheme="majorBidi" w:eastAsia="Calibri" w:hAnsiTheme="majorBidi" w:cstheme="majorBidi"/>
          <w:color w:val="000000"/>
        </w:rPr>
      </w:pPr>
      <w:r>
        <w:rPr>
          <w:rFonts w:asciiTheme="majorBidi" w:hAnsiTheme="majorBidi" w:cstheme="majorBidi"/>
        </w:rPr>
        <w:t xml:space="preserve">Electronic communication between the parties may take various forms, including email correspondence, real-time audiovisual communication such as videoconferencing, and interactions conducted through the World Wide Web, which functions as a global information </w:t>
      </w:r>
      <w:r>
        <w:rPr>
          <w:rFonts w:asciiTheme="majorBidi" w:hAnsiTheme="majorBidi" w:cstheme="majorBidi"/>
        </w:rPr>
        <w:lastRenderedPageBreak/>
        <w:t>network hosting digitally stored documents across multiple systems. Traditional electronic transmission methods such as telex and facsimile may also serve this purpose</w:t>
      </w:r>
      <w:r>
        <w:rPr>
          <w:rStyle w:val="FootnoteReference"/>
          <w:rFonts w:asciiTheme="majorBidi" w:eastAsia="Calibri" w:hAnsiTheme="majorBidi" w:cstheme="majorBidi"/>
          <w:color w:val="000000"/>
        </w:rPr>
        <w:footnoteReference w:id="218"/>
      </w:r>
      <w:r>
        <w:rPr>
          <w:rFonts w:asciiTheme="majorBidi" w:eastAsia="Calibri" w:hAnsiTheme="majorBidi" w:cstheme="majorBidi"/>
          <w:color w:val="000000"/>
        </w:rPr>
        <w:t>.</w:t>
      </w:r>
    </w:p>
    <w:p w14:paraId="4AC2A05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 For an electronic arbitration agreement to be valid, the offer and acceptance must be expressed in a manner consistent with the nature of the electronic medium used. This may occur through the transmission of electronic messages, the exchange of digital documents via online platforms, or the clear expression of a party’s intention to submit existing or future disputes to electronic arbitration. Where such an offer is met with a corresponding acceptance, mutual consent to arbitrate electronically is established.</w:t>
      </w:r>
    </w:p>
    <w:p w14:paraId="278D944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Moreover, where the respective obligations of the parties to submit disputes to arbitration are clearly evidenced in electronic correspondence—whether conducted via email, telex, facsimile, or virtual -based communications—and neither party disputes their existence, it is unnecessary to restate the agreement in a separate written instrument. In such circumstances, the electronic record itself constitutes sufficient proof of the parties’ explicit and binding consent to arbitrate.</w:t>
      </w:r>
      <w:r>
        <w:rPr>
          <w:rStyle w:val="FootnoteReference"/>
          <w:rFonts w:asciiTheme="majorBidi" w:eastAsia="Calibri" w:hAnsiTheme="majorBidi" w:cstheme="majorBidi"/>
          <w:color w:val="000000"/>
        </w:rPr>
        <w:footnoteReference w:id="219"/>
      </w:r>
      <w:r>
        <w:rPr>
          <w:rFonts w:asciiTheme="majorBidi" w:eastAsia="Calibri" w:hAnsiTheme="majorBidi" w:cstheme="majorBidi"/>
          <w:color w:val="000000"/>
        </w:rPr>
        <w:t xml:space="preserve">. </w:t>
      </w:r>
    </w:p>
    <w:p w14:paraId="7D7D3E01" w14:textId="77777777" w:rsidR="00F073C0" w:rsidRPr="008819FD" w:rsidRDefault="00F073C0" w:rsidP="00663759">
      <w:pPr>
        <w:pStyle w:val="NormalWeb"/>
        <w:spacing w:line="480" w:lineRule="auto"/>
        <w:ind w:firstLine="720"/>
        <w:rPr>
          <w:rFonts w:asciiTheme="majorBidi" w:hAnsiTheme="majorBidi" w:cstheme="majorBidi"/>
        </w:rPr>
      </w:pPr>
      <w:bookmarkStart w:id="112" w:name="_Toc190813291"/>
      <w:bookmarkStart w:id="113" w:name="_Toc209626935"/>
      <w:bookmarkStart w:id="114" w:name="_Toc217491572"/>
      <w:r>
        <w:rPr>
          <w:rFonts w:asciiTheme="majorBidi" w:hAnsiTheme="majorBidi" w:cstheme="majorBidi"/>
        </w:rPr>
        <w:t xml:space="preserve">A central issue in electronically concluded arbitration agreements concerns the precise moment at which the agreement is deemed to have been formed. In the context of electronic arbitration, this moment may be identified in several ways. One approach links conclusion to the moment acceptance is expressed, such as when the accepting party clicks an electronic icon or otherwise confirms consent through a digital interface. An alternative view considers the agreement concluded now the acceptance is received by the offeror, even if the offeror has </w:t>
      </w:r>
      <w:r>
        <w:rPr>
          <w:rFonts w:asciiTheme="majorBidi" w:hAnsiTheme="majorBidi" w:cstheme="majorBidi"/>
        </w:rPr>
        <w:lastRenderedPageBreak/>
        <w:t>not yet become aware of it—for example, when the acceptance enters the offeror’s electronic mailbox. A further approach associates conclusion with the moment the offeror becomes aware of the acceptance, namely when the electronic message is opened and read.</w:t>
      </w:r>
    </w:p>
    <w:p w14:paraId="48C095A3"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By contrast, the moment at which acceptance is merely dispatched is generally regarded as insignificant in the context of electronic arbitration. Given the minimal time lapse between transmission and receipt in electronic communications, this stage lacks practical relevance and produces no distinct legal effect. As a result, contemporary analysis tends to focus on receipt or awareness of acceptance as the decisive point at which an electronically concluded arbitration agreement becomes legally binding.</w:t>
      </w:r>
    </w:p>
    <w:p w14:paraId="1F397000" w14:textId="77777777" w:rsidR="00F073C0" w:rsidRPr="008819FD" w:rsidRDefault="00EC31B2" w:rsidP="009F5ACD">
      <w:pPr>
        <w:pStyle w:val="Heading3"/>
        <w:rPr>
          <w:rFonts w:asciiTheme="majorBidi" w:hAnsiTheme="majorBidi" w:cstheme="majorBidi"/>
        </w:rPr>
      </w:pPr>
      <w:bookmarkStart w:id="115" w:name="_Toc221804521"/>
      <w:r>
        <w:rPr>
          <w:rFonts w:asciiTheme="majorBidi" w:hAnsiTheme="majorBidi" w:cstheme="majorBidi"/>
        </w:rPr>
        <w:t>3.1.2 Electronic Formation of the Arbitral Tribunal</w:t>
      </w:r>
      <w:bookmarkEnd w:id="112"/>
      <w:bookmarkEnd w:id="113"/>
      <w:bookmarkEnd w:id="114"/>
      <w:bookmarkEnd w:id="115"/>
    </w:p>
    <w:p w14:paraId="798A650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IParties may also reach agreement electronically on the constitution of the arbitral tribunal. In the context of </w:t>
      </w:r>
      <w:r>
        <w:rPr>
          <w:rFonts w:asciiTheme="majorBidi" w:eastAsia="Calibri" w:hAnsiTheme="majorBidi" w:cstheme="majorBidi"/>
          <w:i/>
          <w:iCs/>
          <w:color w:val="000000"/>
        </w:rPr>
        <w:t>ad hoc</w:t>
      </w:r>
      <w:r>
        <w:rPr>
          <w:rFonts w:asciiTheme="majorBidi" w:eastAsia="Calibri" w:hAnsiTheme="majorBidi" w:cstheme="majorBidi"/>
          <w:color w:val="000000"/>
        </w:rPr>
        <w:t xml:space="preserve"> arbitration, the arbitrator—who must be a natural person—may be appointed through digital means, including selection via the arbitrator’s official website or other electronic communication platforms.</w:t>
      </w:r>
    </w:p>
    <w:p w14:paraId="4D536E4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In institutional arbitration, the appointment process is typically conducted through the electronic systems of the relevant arbitral institution. Parties select arbitrators from predefined panels or lists made available through online forms or digital case management platforms. This electronic appointment mechanism reflects the growing integration of technology into arbitral procedures and demonstrates that the formation of the arbitral tribunal itself can be </w:t>
      </w:r>
      <w:r>
        <w:rPr>
          <w:rFonts w:asciiTheme="majorBidi" w:eastAsia="Calibri" w:hAnsiTheme="majorBidi" w:cstheme="majorBidi"/>
          <w:color w:val="000000"/>
        </w:rPr>
        <w:lastRenderedPageBreak/>
        <w:t>validly completed within a fully electronic environment, provided that the applicable legal and institutional requirements are satisfied.</w:t>
      </w:r>
      <w:r>
        <w:rPr>
          <w:rStyle w:val="FootnoteReference"/>
          <w:rFonts w:asciiTheme="majorBidi" w:eastAsia="Calibri" w:hAnsiTheme="majorBidi" w:cstheme="majorBidi"/>
          <w:color w:val="000000"/>
        </w:rPr>
        <w:footnoteReference w:id="220"/>
      </w:r>
      <w:r>
        <w:rPr>
          <w:rFonts w:asciiTheme="majorBidi" w:eastAsia="Calibri" w:hAnsiTheme="majorBidi" w:cstheme="majorBidi"/>
          <w:color w:val="000000"/>
        </w:rPr>
        <w:t>.</w:t>
      </w:r>
    </w:p>
    <w:p w14:paraId="14BA6972"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Article 9 of the UAE Arbitration Law establishes the foundational rules governing the constitution of the arbitral tribunal. It affirms that the tribunal is to be formed by agreement of the parties and may consist of one or more arbitrators. Where the parties fail to agree on the number of arbitrators, the default position is the appointment of a three-member tribunal, unless the competent authority—whether an authorised arbitral institution or the court, as defined by the Law—determines otherwise. The provision further requires that, where more than one arbitrator is appointed, the total number must be odd; failure to comply with this requirement renders the arbitration invalid.</w:t>
      </w:r>
    </w:p>
    <w:p w14:paraId="4E6BF11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Law further regulates the composition of the arbitral tribunal through complementary provisions. Article 10 specifies the qualifications and eligibility criteria applicable to arbitrators, while Article 11 sets out the procedures for their appointment. Together, these provisions ensure that arbitrators possess the requisite independence, capacity, and legal competence, while also safeguarding party autonomy in the selection process.</w:t>
      </w:r>
    </w:p>
    <w:p w14:paraId="1E0DAFF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In addition, Article 13 addresses situations in which the appointment mechanism breaks down. Where a party fails to adhere to the agreed method for appointing arbitrators, where no appointment procedure has been agreed, where appointed arbitrators are unable to reach a required decision, or where a third party or designated authority fails to fulfil its role in the appointment process, the court is empowered to intervene upon the request of either party. Such judicial intervention operates as a default safeguard, ensuring the continuity of the </w:t>
      </w:r>
      <w:r>
        <w:rPr>
          <w:rFonts w:asciiTheme="majorBidi" w:eastAsia="Calibri" w:hAnsiTheme="majorBidi" w:cstheme="majorBidi"/>
          <w:color w:val="000000"/>
        </w:rPr>
        <w:lastRenderedPageBreak/>
        <w:t>arbitral process unless the arbitration agreement provides for an alternative appointment mechanism.</w:t>
      </w:r>
      <w:r>
        <w:rPr>
          <w:rStyle w:val="FootnoteReference"/>
          <w:rFonts w:asciiTheme="majorBidi" w:eastAsia="Calibri" w:hAnsiTheme="majorBidi" w:cstheme="majorBidi"/>
          <w:color w:val="000000"/>
        </w:rPr>
        <w:footnoteReference w:id="221"/>
      </w:r>
    </w:p>
    <w:p w14:paraId="0E237231" w14:textId="2153E3BF" w:rsidR="00F073C0" w:rsidRPr="008819FD" w:rsidRDefault="00F073C0" w:rsidP="00663759">
      <w:pPr>
        <w:pStyle w:val="NormalWeb"/>
        <w:spacing w:line="480" w:lineRule="auto"/>
        <w:ind w:firstLine="720"/>
        <w:rPr>
          <w:rFonts w:asciiTheme="majorBidi" w:hAnsiTheme="majorBidi" w:cstheme="majorBidi"/>
        </w:rPr>
      </w:pPr>
      <w:bookmarkStart w:id="116" w:name="_Toc190813292"/>
      <w:bookmarkStart w:id="117" w:name="_Toc209626936"/>
      <w:bookmarkStart w:id="118" w:name="_Toc217491573"/>
      <w:r>
        <w:rPr>
          <w:rFonts w:asciiTheme="majorBidi" w:hAnsiTheme="majorBidi" w:cstheme="majorBidi"/>
        </w:rPr>
        <w:t>Any judicial decision issued in relation to the constitution of the arbitral tribunal is final and not subject to appeal or challenge by any means. This reflects the legislator’s intention to safeguard the efficiency and continuity of arbitral proceedings by limiting judicial interference once the tribunal has been duly constituted.</w:t>
      </w:r>
      <w:r w:rsidR="00157A6B" w:rsidRPr="00157A6B">
        <w:rPr>
          <w:rFonts w:asciiTheme="majorBidi" w:hAnsiTheme="majorBidi" w:cstheme="majorBidi"/>
        </w:rPr>
        <w:t xml:space="preserve"> </w:t>
      </w:r>
      <w:r w:rsidR="00157A6B">
        <w:rPr>
          <w:rFonts w:asciiTheme="majorBidi" w:hAnsiTheme="majorBidi" w:cstheme="majorBidi"/>
        </w:rPr>
        <w:t>This finality attaches to the court’s decision on the procedure for constituting the tribunal; it does not, however, render the composition of the tribunal immune from later review. Where a tribunal is constituted contrary to the agreement of the parties for example, where an appointed arbitrator does not possess a qualification expressly stipulated by the parties, such as a requirement that the arbitrator be a qualified engineer that defect may still be relied upon as a ground for setting the award aside under Article 53(1) of the UAE Arbitration Law, or for resisting recognition and enforcement under Article V(1)(d) of the New York Convention.</w:t>
      </w:r>
    </w:p>
    <w:p w14:paraId="0E4F63D8" w14:textId="004C5978" w:rsidR="00157A6B" w:rsidRPr="008819FD" w:rsidRDefault="00F073C0" w:rsidP="00157A6B">
      <w:pPr>
        <w:pStyle w:val="NormalWeb"/>
        <w:spacing w:line="480" w:lineRule="auto"/>
        <w:ind w:firstLine="720"/>
        <w:rPr>
          <w:rFonts w:asciiTheme="majorBidi" w:hAnsiTheme="majorBidi" w:cstheme="majorBidi"/>
        </w:rPr>
      </w:pPr>
      <w:r>
        <w:rPr>
          <w:rFonts w:asciiTheme="majorBidi" w:hAnsiTheme="majorBidi" w:cstheme="majorBidi"/>
        </w:rPr>
        <w:t>Pursuant to Article 27(1) of the UAE Arbitration Law, arbitral proceedings are deemed to commence on the day following the completion of the formation of the arbitral tribunal, unless the parties have agreed to a different commencement date. This provision establishes a clear temporal starting point for the arbitration process and provides certainty for the calculation of procedural time limits.</w:t>
      </w:r>
      <w:r w:rsidR="00157A6B" w:rsidRPr="00157A6B">
        <w:rPr>
          <w:rFonts w:asciiTheme="majorBidi" w:hAnsiTheme="majorBidi" w:cstheme="majorBidi"/>
        </w:rPr>
        <w:t xml:space="preserve"> </w:t>
      </w:r>
      <w:r w:rsidR="00157A6B">
        <w:rPr>
          <w:rFonts w:asciiTheme="majorBidi" w:hAnsiTheme="majorBidi" w:cstheme="majorBidi"/>
        </w:rPr>
        <w:t xml:space="preserve">The commencement of proceedings under Article 27(1) should not, however, be conflated with the time limit for rendering the award. The latter is governed separately by Article 42(1) of the UAE Arbitration Law, under which the award </w:t>
      </w:r>
      <w:r w:rsidR="00157A6B">
        <w:rPr>
          <w:rFonts w:asciiTheme="majorBidi" w:hAnsiTheme="majorBidi" w:cstheme="majorBidi"/>
        </w:rPr>
        <w:lastRenderedPageBreak/>
        <w:t>must be rendered within six months from the date of the first hearing of the arbitration a period that the tribunal may extend by up to a further six months, or that the competent court may extend rather than from the date on which the proceedings are deemed to commence.</w:t>
      </w:r>
    </w:p>
    <w:p w14:paraId="00E079C7" w14:textId="7CF7EDB6" w:rsidR="00F073C0" w:rsidRPr="008819FD" w:rsidRDefault="00F073C0" w:rsidP="00663759">
      <w:pPr>
        <w:pStyle w:val="NormalWeb"/>
        <w:spacing w:line="480" w:lineRule="auto"/>
        <w:ind w:firstLine="720"/>
        <w:rPr>
          <w:rFonts w:asciiTheme="majorBidi" w:hAnsiTheme="majorBidi" w:cstheme="majorBidi"/>
        </w:rPr>
      </w:pPr>
    </w:p>
    <w:p w14:paraId="3EAC6EB5"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In addition, the final paragraph of Article 41 of the same law clarifies the determination of the date of issuance of the arbitral award. Where the tribunal consists of a sole arbitrator, the award is considered issued on the date on which the arbitrator signs it. In cases involving a multi-member tribunal, the date of issuance is the date of the last signature affixed by the arbitrators, unless the parties have agreed otherwise. This rule ensures clarity as to the legal effect and enforceability of the award by fixing a definitive point in time for its issuance.</w:t>
      </w:r>
    </w:p>
    <w:p w14:paraId="781FDE0F" w14:textId="77777777" w:rsidR="00F073C0" w:rsidRPr="008819FD" w:rsidRDefault="00F073C0" w:rsidP="00663759">
      <w:pPr>
        <w:pStyle w:val="Heading2"/>
        <w:rPr>
          <w:rFonts w:asciiTheme="majorBidi" w:eastAsia="Calibri" w:hAnsiTheme="majorBidi" w:cstheme="majorBidi"/>
          <w:sz w:val="24"/>
          <w:szCs w:val="24"/>
        </w:rPr>
      </w:pPr>
      <w:bookmarkStart w:id="119" w:name="_Toc221804522"/>
      <w:r>
        <w:rPr>
          <w:rFonts w:asciiTheme="majorBidi" w:eastAsia="Calibri" w:hAnsiTheme="majorBidi" w:cstheme="majorBidi"/>
          <w:sz w:val="24"/>
          <w:szCs w:val="24"/>
        </w:rPr>
        <w:t>Electronic arbitration dispute (its beginning - its course - its end)</w:t>
      </w:r>
      <w:bookmarkEnd w:id="116"/>
      <w:bookmarkEnd w:id="117"/>
      <w:bookmarkEnd w:id="118"/>
      <w:bookmarkEnd w:id="119"/>
    </w:p>
    <w:p w14:paraId="7996D59D"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electronic nature of arbitration procedures means stating its beginning (the first section), its course (the second section, and its end the third section as follows:</w:t>
      </w:r>
    </w:p>
    <w:p w14:paraId="2A8DE518" w14:textId="77777777" w:rsidR="00F073C0" w:rsidRPr="008819FD" w:rsidRDefault="00EC31B2" w:rsidP="009F5ACD">
      <w:pPr>
        <w:pStyle w:val="Heading3"/>
        <w:rPr>
          <w:rFonts w:asciiTheme="majorBidi" w:hAnsiTheme="majorBidi" w:cstheme="majorBidi"/>
        </w:rPr>
      </w:pPr>
      <w:bookmarkStart w:id="120" w:name="_Toc190813293"/>
      <w:bookmarkStart w:id="121" w:name="_Toc209626937"/>
      <w:bookmarkStart w:id="122" w:name="_Toc217491574"/>
      <w:bookmarkStart w:id="123" w:name="_Toc221804523"/>
      <w:r>
        <w:rPr>
          <w:rFonts w:asciiTheme="majorBidi" w:hAnsiTheme="majorBidi" w:cstheme="majorBidi"/>
        </w:rPr>
        <w:t>3.2.1 Beginning (the request - notification thereof) Electronic arbitration procedures</w:t>
      </w:r>
      <w:bookmarkEnd w:id="120"/>
      <w:bookmarkEnd w:id="121"/>
      <w:bookmarkEnd w:id="122"/>
      <w:bookmarkEnd w:id="123"/>
    </w:p>
    <w:p w14:paraId="209A8357"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 xml:space="preserve">Where a dispute arises between two parties and their contractual relationship includes an agreement providing for electronic arbitration—whether through an electronic arbitral centre, a virtual arbitration platform, or other electronic means—the arbitration proceedings may be conducted entirely through digital channels. In such cases, the use of secure electronic signature technology enables the electronic arbitral authority to verify the authenticity of the </w:t>
      </w:r>
      <w:r>
        <w:rPr>
          <w:rFonts w:asciiTheme="majorBidi" w:hAnsiTheme="majorBidi" w:cstheme="majorBidi"/>
        </w:rPr>
        <w:lastRenderedPageBreak/>
        <w:t>communications, confirm the identity of the sender, and ensure the integrity of the transmitted documents.</w:t>
      </w:r>
    </w:p>
    <w:p w14:paraId="62AD6E3B"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Unless the parties have agreed otherwise, notification of the commencement of arbitration may be affected by electronic means, including email. Procedurally, the claimant is generally required to notify the respondent of the initiation of arbitration before notifying the arbitral authority. Where authorised, the claimant may also notify the arbitrator on behalf of the respondent, provided that such authority has been expressly granted. This framework facilitates efficient electronic communication while preserving due process and ensuring that all parties receive proper notice of the arbitration proceedings</w:t>
      </w:r>
      <w:r>
        <w:rPr>
          <w:rStyle w:val="FootnoteReference"/>
          <w:rFonts w:asciiTheme="majorBidi" w:eastAsia="Calibri" w:hAnsiTheme="majorBidi" w:cstheme="majorBidi"/>
          <w:color w:val="000000"/>
        </w:rPr>
        <w:footnoteReference w:id="222"/>
      </w:r>
    </w:p>
    <w:p w14:paraId="326AAE2B"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Procedural matters in arbitration are generally governed by the rules adopted by arbitral institutions, many of which operate through dedicated online platforms, unless the parties have agreed otherwise. These institutional rules provide the default procedural framework for the conduct of arbitration, including notice requirements and the commencement of proceedings.</w:t>
      </w:r>
    </w:p>
    <w:p w14:paraId="41A86E34" w14:textId="7D6C3E7C" w:rsidR="00F073C0" w:rsidRPr="008819FD" w:rsidRDefault="00F073C0" w:rsidP="00157A6B">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Under </w:t>
      </w:r>
      <w:r w:rsidR="00157A6B">
        <w:rPr>
          <w:rFonts w:asciiTheme="majorBidi" w:eastAsia="Calibri" w:hAnsiTheme="majorBidi" w:cstheme="majorBidi"/>
          <w:color w:val="000000"/>
        </w:rPr>
        <w:t xml:space="preserve"> Article 21 </w:t>
      </w:r>
      <w:r>
        <w:rPr>
          <w:rFonts w:asciiTheme="majorBidi" w:eastAsia="Calibri" w:hAnsiTheme="majorBidi" w:cstheme="majorBidi"/>
          <w:color w:val="000000"/>
        </w:rPr>
        <w:t xml:space="preserve">of the </w:t>
      </w:r>
      <w:r>
        <w:rPr>
          <w:rFonts w:asciiTheme="majorBidi" w:eastAsia="Calibri" w:hAnsiTheme="majorBidi" w:cstheme="majorBidi"/>
          <w:b/>
          <w:bCs/>
          <w:color w:val="000000"/>
        </w:rPr>
        <w:t>UNCITRAL</w:t>
      </w:r>
      <w:r>
        <w:rPr>
          <w:rFonts w:asciiTheme="majorBidi" w:eastAsia="Calibri" w:hAnsiTheme="majorBidi" w:cstheme="majorBidi"/>
          <w:color w:val="000000"/>
        </w:rPr>
        <w:t xml:space="preserve"> Model Law, arbitral proceedings are deemed to commence on the date on which the respondent receives the request for arbitration. A similar approach is reflected in Article 27 of the Egyptian Arbitration Law, which links the commencement of proceedings to the date the respondent receives the arbitration request.</w:t>
      </w:r>
    </w:p>
    <w:p w14:paraId="75989EC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By contrast, the UAE Arbitration Law adopts a different temporal trigger. Pursuant to Article 27(1), arbitral proceedings commence on the day following the completion of the </w:t>
      </w:r>
      <w:r>
        <w:rPr>
          <w:rFonts w:asciiTheme="majorBidi" w:eastAsia="Calibri" w:hAnsiTheme="majorBidi" w:cstheme="majorBidi"/>
          <w:color w:val="000000"/>
        </w:rPr>
        <w:lastRenderedPageBreak/>
        <w:t>formation of the arbitral tribunal, unless the parties agree otherwise. In the context of electronic arbitration, receipt of notices and procedural communications is affected through electronic means, most commonly via email or institutional digital platforms.</w:t>
      </w:r>
    </w:p>
    <w:p w14:paraId="7B10029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determination of the commencement date of arbitral proceedings carries significant legal consequences. It affects the calculation of procedural time limits, including deadlines for the exchange of submissions and the issuance of the arbitral award within the statutory or agreed time frame. It may also influence the accrual of default interest, the assessment of delay-related liability, and, in certain legal systems, the transmission of claims for compensation—such as moral damages—to the heirs of a deceased claimant.</w:t>
      </w:r>
    </w:p>
    <w:p w14:paraId="30416EC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In electronic arbitration, the speed and efficiency of digital communication substantially reduce delays traditionally associated with paper-based notice and correspondence. This accelerated procedural environment reinforces the importance of clearly identifying the legally relevant moment at which arbitral proceedings are deemed to have commenced</w:t>
      </w:r>
      <w:r>
        <w:rPr>
          <w:rStyle w:val="FootnoteReference"/>
          <w:rFonts w:asciiTheme="majorBidi" w:eastAsia="Calibri" w:hAnsiTheme="majorBidi" w:cstheme="majorBidi"/>
          <w:color w:val="000000"/>
        </w:rPr>
        <w:footnoteReference w:id="223"/>
      </w:r>
      <w:r>
        <w:rPr>
          <w:rFonts w:asciiTheme="majorBidi" w:eastAsia="Calibri" w:hAnsiTheme="majorBidi" w:cstheme="majorBidi"/>
          <w:color w:val="000000"/>
        </w:rPr>
        <w:t>.</w:t>
      </w:r>
    </w:p>
    <w:p w14:paraId="5944444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Where an arbitration agreement is concluded electronically—pursuant to Article 7(2)(a) of the UAE Arbitration Law—the procedural framework is designed to facilitate the swift resolution of disputes, reflecting the speed and efficiency of electronic communication when compared with traditional methods. Electronic arbitration significantly reduces delays that are otherwise inherent in paper-based correspondence and manual filing processes.</w:t>
      </w:r>
    </w:p>
    <w:p w14:paraId="2AFC2C2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In practice, permanent electronic arbitration centre s operating via the virtual maintain dedicated online secretariats through their official websites. These secretariats are responsible for receiving requests for arbitration electronically and for verifying that all required procedural and substantive information has been duly provided before the request is referred to the arbitral tribunal. For procedural purposes, the date on which the secretariat receives the arbitration request is deemed to be the date on which arbitral proceedings commence.</w:t>
      </w:r>
    </w:p>
    <w:p w14:paraId="27370EF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In the context of electronic arbitration, the time interval between the transmission of the request by the claimant and its receipt by the arbitral institution is effectively negligible, as electronic submission ensures near-instantaneous delivery. Consequently, the date of dispatch and the date of receipt are, for all practical purposes, the same.</w:t>
      </w:r>
    </w:p>
    <w:p w14:paraId="0645ED0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Operationally, the claimant initiates the arbitration by accessing the relevant arbitration centre ’s website, completing the electronic submission requirements, and activating the designated link to refer the dispute for adjudication. This process exemplifies how electronic arbitration streamlines procedural initiation while maintaining legal certainty and procedural validity under the UAE Arbitration Law</w:t>
      </w:r>
      <w:r>
        <w:rPr>
          <w:rStyle w:val="FootnoteReference"/>
          <w:rFonts w:asciiTheme="majorBidi" w:eastAsia="Calibri" w:hAnsiTheme="majorBidi" w:cstheme="majorBidi"/>
          <w:color w:val="000000"/>
        </w:rPr>
        <w:footnoteReference w:id="224"/>
      </w:r>
      <w:r>
        <w:rPr>
          <w:rFonts w:asciiTheme="majorBidi" w:eastAsia="Calibri" w:hAnsiTheme="majorBidi" w:cstheme="majorBidi"/>
          <w:color w:val="000000"/>
        </w:rPr>
        <w:t>.</w:t>
      </w:r>
    </w:p>
    <w:p w14:paraId="43A3E4F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Upon initiating the electronic arbitration process, a standardised arbitration request form prepared by the arbitral centre is displayed for completion by the claimant. This form requires the claimant to provide essential information, most notably the identification details of both the claimant and the respondent, including their respective electronic addresses through which procedural communications will be conducted.</w:t>
      </w:r>
    </w:p>
    <w:p w14:paraId="0193980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The electronically submitted request must also set out the factual background of the dispute, identify the legal and substantive issues in contention, and specify the relief sought. In addition, the claimant is required to indicate the proposed number of arbitrators, the preferred procedural framework, and to upload a copy of the arbitration agreement, together with a list of supporting evidence and any other relevant documentation.</w:t>
      </w:r>
    </w:p>
    <w:p w14:paraId="163BCBD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submission process further includes the electronic payment of administrative fees in accordance with the arbitral centre ’s rules. The claimant must also indicate the method by which the respondent is to be notified of the arbitration request, including whether the arbitral centre is authorised to effect service on the claimant’s behalf, as well as the timeframe within which the centre  is to transmit the request and receive confirmation of receipt from the respondent.</w:t>
      </w:r>
    </w:p>
    <w:p w14:paraId="0F06B5C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Upon successful submission of the request, the arbitral proceedings are deemed to have commenced. At this stage, the procedural framework is formally activated, and the parties may proceed either with the continuation of arbitration or, where appropriate, engage in discussions aimed at reaching an amicable settlement</w:t>
      </w:r>
      <w:r>
        <w:rPr>
          <w:rStyle w:val="FootnoteReference"/>
          <w:rFonts w:asciiTheme="majorBidi" w:eastAsia="Calibri" w:hAnsiTheme="majorBidi" w:cstheme="majorBidi"/>
          <w:color w:val="000000"/>
        </w:rPr>
        <w:footnoteReference w:id="225"/>
      </w:r>
      <w:r>
        <w:rPr>
          <w:rFonts w:asciiTheme="majorBidi" w:eastAsia="Calibri" w:hAnsiTheme="majorBidi" w:cstheme="majorBidi"/>
          <w:color w:val="000000"/>
        </w:rPr>
        <w:t xml:space="preserve">. </w:t>
      </w:r>
    </w:p>
    <w:p w14:paraId="0F78F9D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Preliminary sessions may be convened at the outset of the arbitration, during which formal minutes are prepared to record the parties’ procedural agreements. These minutes typically address key matters, including the determination of the official commencement date of the arbitral proceedings. The record of the preliminary session is signed by the parties or their authorised representatives, as well as by the arbitrators, thereby evidencing the arbitrators’ acceptance of their mandate and confirmation of the matters agreed upon. The date </w:t>
      </w:r>
      <w:r>
        <w:rPr>
          <w:rFonts w:asciiTheme="majorBidi" w:eastAsia="Calibri" w:hAnsiTheme="majorBidi" w:cstheme="majorBidi"/>
          <w:color w:val="000000"/>
        </w:rPr>
        <w:lastRenderedPageBreak/>
        <w:t>on which these minutes are issued is deemed to constitute the formal commencement of the arbitration proceedings.</w:t>
      </w:r>
    </w:p>
    <w:p w14:paraId="2F14603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Following this stage, the claimant is required to submit, by electronic means, the documents and evidence supporting the claim within the timeframe agreed by the parties or, failing such agreement, within the period prescribed by the arbitral institution to which the dispute has been referred. Upon completion of this step, the dispute is formally placed before the arbitral tribunal for determination.</w:t>
      </w:r>
    </w:p>
    <w:p w14:paraId="3BBBF04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In this context, Article 24(1) of the UAE Arbitration Law—previously discussed—provides the legal basis for electronic notifications and communications, thereby reinforcing the validity of electronically conducted procedural steps throughout the arbitration process.</w:t>
      </w:r>
      <w:r>
        <w:rPr>
          <w:rStyle w:val="FootnoteReference"/>
          <w:rFonts w:asciiTheme="majorBidi" w:eastAsia="Calibri" w:hAnsiTheme="majorBidi" w:cstheme="majorBidi"/>
          <w:color w:val="000000"/>
        </w:rPr>
        <w:footnoteReference w:id="226"/>
      </w:r>
    </w:p>
    <w:p w14:paraId="33FE21F6" w14:textId="77777777" w:rsidR="00F073C0" w:rsidRPr="008819FD" w:rsidRDefault="00EC31B2" w:rsidP="009F5ACD">
      <w:pPr>
        <w:pStyle w:val="Heading3"/>
        <w:rPr>
          <w:rFonts w:asciiTheme="majorBidi" w:hAnsiTheme="majorBidi" w:cstheme="majorBidi"/>
        </w:rPr>
      </w:pPr>
      <w:bookmarkStart w:id="124" w:name="_Toc190813294"/>
      <w:bookmarkStart w:id="125" w:name="_Toc209626938"/>
      <w:bookmarkStart w:id="126" w:name="_Toc217491575"/>
      <w:bookmarkStart w:id="127" w:name="_Toc221804524"/>
      <w:r>
        <w:rPr>
          <w:rFonts w:asciiTheme="majorBidi" w:hAnsiTheme="majorBidi" w:cstheme="majorBidi"/>
        </w:rPr>
        <w:t>3.2.2 Electronic Arbitration Proceedings</w:t>
      </w:r>
      <w:bookmarkEnd w:id="124"/>
      <w:bookmarkEnd w:id="125"/>
      <w:bookmarkEnd w:id="126"/>
      <w:bookmarkEnd w:id="127"/>
    </w:p>
    <w:p w14:paraId="376998B5" w14:textId="77777777" w:rsidR="00F073C0" w:rsidRPr="008819FD" w:rsidRDefault="00F073C0" w:rsidP="00663759">
      <w:pPr>
        <w:numPr>
          <w:ilvl w:val="0"/>
          <w:numId w:val="21"/>
        </w:numPr>
        <w:shd w:val="clear" w:color="auto" w:fill="FFFFFF"/>
        <w:spacing w:before="0" w:after="160" w:line="480" w:lineRule="auto"/>
        <w:ind w:firstLine="720"/>
        <w:contextualSpacing/>
        <w:rPr>
          <w:rFonts w:asciiTheme="majorBidi" w:eastAsia="Calibri" w:hAnsiTheme="majorBidi" w:cstheme="majorBidi"/>
          <w:b/>
          <w:bCs/>
          <w:color w:val="000000"/>
        </w:rPr>
      </w:pPr>
      <w:r>
        <w:rPr>
          <w:rFonts w:asciiTheme="majorBidi" w:eastAsia="Calibri" w:hAnsiTheme="majorBidi" w:cstheme="majorBidi"/>
          <w:b/>
          <w:bCs/>
          <w:color w:val="000000"/>
        </w:rPr>
        <w:t>Electronic arbitration sessions</w:t>
      </w:r>
    </w:p>
    <w:p w14:paraId="69143663"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 xml:space="preserve">In electronic arbitration, arbitral proceedings are conducted through online sessions managed via digital communication platforms. While this virtual environment enhances efficiency and accessibility, it also complicates the identification of a physical location for the arbitration. Notwithstanding this difficulty, determining the legal seat of arbitration remains essential, as it establishes the applicable procedural law and the framework for judicial supervision. In recognition of this importance, the UAE Arbitration Law grants the parties the freedom to determine the seat of arbitration or to delegate this determination to the arbitral </w:t>
      </w:r>
      <w:r>
        <w:rPr>
          <w:rFonts w:asciiTheme="majorBidi" w:hAnsiTheme="majorBidi" w:cstheme="majorBidi"/>
        </w:rPr>
        <w:lastRenderedPageBreak/>
        <w:t>institution or tribunal, considering the circumstances of the dispute and the suitability of the seat for the parties, as provided under Article 28(1).</w:t>
      </w:r>
    </w:p>
    <w:p w14:paraId="47775D9D"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The selection of the virtual as the medium through which arbitration is conducted does not negate the requirement to designate a legal seat. The parties may agree to a specific country as the seat of arbitration, or, in the absence of such agreement, the arbitral body may determine the seat in accordance with Article 28(1). This designation is largely juridical in nature and serves to confer legal significance on the arbitral process, even where proceedings are conducted entirely online.</w:t>
      </w:r>
    </w:p>
    <w:p w14:paraId="494F2E38"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Once the seat is determined, arbitral sessions may be convened and conducted using modern electronic means. The arbitral tribunal is empowered to hold hearings, deliberate, and communicate with the parties through digital technologies, including videoconferencing and other electronic communication tools. Minutes of the sessions are prepared and transmitted electronically to the parties. Documentary evidence, written submissions, and memoranda are exchanged electronically—most commonly by email—and reviewed by the tribunal in accordance with Article 31 of the UAE Arbitration Law, without the necessity of in-person oral pleadings.</w:t>
      </w:r>
    </w:p>
    <w:p w14:paraId="7DAD008B"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 xml:space="preserve">Electronic arbitration further allows flexibility in scheduling hearings. Sessions may be held on dates agreed by the parties or fixed by the tribunal, including on official holidays, and may be conducted through closed-circuit television or other secure audiovisual systems. In practice, electronic hearings often involve real-time transmission of images and audio, enabling each party to see and hear the other parties and the members of the arbitral tribunal, thereby ensuring equality of arms and respect for due process.This approach is expressly </w:t>
      </w:r>
      <w:r>
        <w:rPr>
          <w:rFonts w:asciiTheme="majorBidi" w:hAnsiTheme="majorBidi" w:cstheme="majorBidi"/>
        </w:rPr>
        <w:lastRenderedPageBreak/>
        <w:t>endorsed by Article 41(6) of the UAE Arbitration Law, which permits arbitral hearings to be conducted through modern means of communication without requiring the physical presence of the parties. Accordingly, electronic arbitration represents a functional adaptation of traditional arbitral procedures, preserving their legal integrity while leveraging technological tools to enhance procedural efficiency and accessibility</w:t>
      </w:r>
      <w:r>
        <w:rPr>
          <w:rFonts w:asciiTheme="majorBidi" w:eastAsia="Calibri" w:hAnsiTheme="majorBidi" w:cstheme="majorBidi"/>
          <w:color w:val="000000"/>
        </w:rPr>
        <w:t>.</w:t>
      </w:r>
      <w:r>
        <w:rPr>
          <w:rStyle w:val="FootnoteReference"/>
          <w:rFonts w:asciiTheme="majorBidi" w:eastAsia="Calibri" w:hAnsiTheme="majorBidi" w:cstheme="majorBidi"/>
          <w:color w:val="000000"/>
        </w:rPr>
        <w:footnoteReference w:id="227"/>
      </w:r>
    </w:p>
    <w:p w14:paraId="70FACB6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Electronic arbitration sessions extend beyond the mere hearing of the parties’ submissions and encompass the digital exchange of documents, evidence, and other relevant materials. However, legal sensitivity arises in relation to the taking of witness testimony, including expert witnesses, as regulated under the UAE Arbitration Law. In accordance with established arbitral principles—reflected, for example, in Article 25(4) of the UNCITRAL Model Law—witness testimony must be taken in a manner that prevents undue influence, including ensuring that witnesses do not hear the submissions or testimony of other parties prior to giving their own evidence.</w:t>
      </w:r>
    </w:p>
    <w:p w14:paraId="605A38C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In the context of electronic arbitration, this concern may be addressed through technical safeguards. The arbitral tribunal may, for instance, encrypt the session during which the witness is heard, restrict access to the virtual hearing room, or require the witness to participate only during the designated portion of the proceedings. Once the witness has provided testimony and the tribunal has obtained the necessary information, access to the session may be terminated to preserve procedural integrity and confidentiality.</w:t>
      </w:r>
    </w:p>
    <w:p w14:paraId="004249ED"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More broadly, the confidentiality and security of electronic arbitration proceedings can be enhanced through a combination of technological measures, including encryption, network </w:t>
      </w:r>
      <w:r>
        <w:rPr>
          <w:rFonts w:asciiTheme="majorBidi" w:eastAsia="Calibri" w:hAnsiTheme="majorBidi" w:cstheme="majorBidi"/>
          <w:color w:val="000000"/>
        </w:rPr>
        <w:lastRenderedPageBreak/>
        <w:t>isolation, information filtering systems, firewalls, and the use of trusted third-party intermediaries or proxy servers. These mechanisms transform data into encrypted formats that can be restored to their original form only through specialised computational processes, typically accessible to a limited number of authorised experts and subject to regulatory oversight. Such safeguards play a critical role in protecting the privacy of electronic arbitration sessions and ensuring that access is restricted exclusively to authorised participants.</w:t>
      </w:r>
    </w:p>
    <w:p w14:paraId="0A1AABB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Nonetheless, despite these protective measures, the risk of cyber intrusion cannot be eliminated. As methods of cybercrime continue to evolve, so too must the technical and legal mechanisms designed to counter them. Effective electronic arbitration therefore requires continuous advancement in cybersecurity tools, alongside robust systems for detecting, investigating, and attributing cyberattacks, to preserve trust in digital dispute resolution processes</w:t>
      </w:r>
      <w:r>
        <w:rPr>
          <w:rStyle w:val="FootnoteReference"/>
          <w:rFonts w:asciiTheme="majorBidi" w:eastAsia="Calibri" w:hAnsiTheme="majorBidi" w:cstheme="majorBidi"/>
          <w:color w:val="000000"/>
        </w:rPr>
        <w:footnoteReference w:id="228"/>
      </w:r>
      <w:r>
        <w:rPr>
          <w:rFonts w:asciiTheme="majorBidi" w:eastAsia="Calibri" w:hAnsiTheme="majorBidi" w:cstheme="majorBidi"/>
          <w:color w:val="000000"/>
        </w:rPr>
        <w:t>.</w:t>
      </w:r>
    </w:p>
    <w:p w14:paraId="3C3A622D" w14:textId="77777777" w:rsidR="00F073C0" w:rsidRPr="008819FD" w:rsidRDefault="00F073C0" w:rsidP="00663759">
      <w:pPr>
        <w:numPr>
          <w:ilvl w:val="0"/>
          <w:numId w:val="21"/>
        </w:numPr>
        <w:shd w:val="clear" w:color="auto" w:fill="FFFFFF"/>
        <w:spacing w:before="0" w:after="160" w:line="480" w:lineRule="auto"/>
        <w:ind w:firstLine="720"/>
        <w:contextualSpacing/>
        <w:rPr>
          <w:rFonts w:asciiTheme="majorBidi" w:eastAsia="Calibri" w:hAnsiTheme="majorBidi" w:cstheme="majorBidi"/>
          <w:b/>
          <w:bCs/>
          <w:color w:val="000000"/>
        </w:rPr>
      </w:pPr>
      <w:r>
        <w:rPr>
          <w:rFonts w:asciiTheme="majorBidi" w:eastAsia="Calibri" w:hAnsiTheme="majorBidi" w:cstheme="majorBidi"/>
          <w:b/>
          <w:bCs/>
          <w:color w:val="000000"/>
        </w:rPr>
        <w:t>The Opponents Submit their Defense Electronically:</w:t>
      </w:r>
    </w:p>
    <w:p w14:paraId="26D5204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All memoranda, documents, and other materials submitted by one party to the arbitral tribunal must be communicated to the opposing party. In accordance with Article 31 of the UAE Arbitration Law, both parties are required to submit expert reports, documentary evidence, and any other supporting materials through the electronic means agreed upon for the arbitration. This process ensures that each party is afforded a fair opportunity to examine, comment on, and respond to the evidence submitted by the other party through electronic communication.</w:t>
      </w:r>
    </w:p>
    <w:p w14:paraId="5943D00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The arbitral tribunal bears a positive obligation to supervise and enforce this principle of procedural equality. Failure to electronically exchange documents prior to the closure of pleadings may result in the exclusion of such materials from consideration. Consequently, any evidence that has not been duly shared with the opposing party in accordance with the agreed electronic procedures cannot form part of the tribunal’s deliberations or the basis of its final award</w:t>
      </w:r>
      <w:r>
        <w:rPr>
          <w:rStyle w:val="FootnoteReference"/>
          <w:rFonts w:asciiTheme="majorBidi" w:eastAsia="Calibri" w:hAnsiTheme="majorBidi" w:cstheme="majorBidi"/>
          <w:color w:val="000000"/>
        </w:rPr>
        <w:footnoteReference w:id="229"/>
      </w:r>
      <w:r>
        <w:rPr>
          <w:rFonts w:asciiTheme="majorBidi" w:eastAsia="Calibri" w:hAnsiTheme="majorBidi" w:cstheme="majorBidi"/>
          <w:color w:val="000000"/>
        </w:rPr>
        <w:t>.</w:t>
      </w:r>
    </w:p>
    <w:p w14:paraId="198FA782"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 Article 2(3) of the Rules of the </w:t>
      </w:r>
      <w:r>
        <w:rPr>
          <w:rFonts w:asciiTheme="majorBidi" w:eastAsia="Calibri" w:hAnsiTheme="majorBidi" w:cstheme="majorBidi"/>
          <w:b/>
          <w:bCs/>
          <w:color w:val="000000"/>
        </w:rPr>
        <w:t>International Chamber of Commerce</w:t>
      </w:r>
      <w:r>
        <w:rPr>
          <w:rFonts w:asciiTheme="majorBidi" w:eastAsia="Calibri" w:hAnsiTheme="majorBidi" w:cstheme="majorBidi"/>
          <w:color w:val="000000"/>
        </w:rPr>
        <w:t xml:space="preserve"> expressly permits arbitral communications to be affected by email, telegraph, telex, or any other means of communication capable of providing proof of transmission. This provision reflects a clear and explicit endorsement of electronic communications within ICC-administered arbitrations.</w:t>
      </w:r>
    </w:p>
    <w:p w14:paraId="3719E458" w14:textId="291830F4" w:rsidR="00F073C0" w:rsidRPr="008819FD" w:rsidRDefault="00F073C0" w:rsidP="0031139C">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By contrast, the procedural rules of major UAE-based arbitral institutions—such as the </w:t>
      </w:r>
      <w:r>
        <w:rPr>
          <w:rFonts w:asciiTheme="majorBidi" w:eastAsia="Calibri" w:hAnsiTheme="majorBidi" w:cstheme="majorBidi"/>
          <w:b/>
          <w:bCs/>
          <w:color w:val="000000"/>
        </w:rPr>
        <w:t>Dubai International Arbitration Centre,</w:t>
      </w:r>
      <w:r>
        <w:rPr>
          <w:rFonts w:asciiTheme="majorBidi" w:eastAsia="Calibri" w:hAnsiTheme="majorBidi" w:cstheme="majorBidi"/>
          <w:color w:val="000000"/>
        </w:rPr>
        <w:t xml:space="preserve"> the </w:t>
      </w:r>
      <w:r>
        <w:rPr>
          <w:rFonts w:asciiTheme="majorBidi" w:eastAsia="Calibri" w:hAnsiTheme="majorBidi" w:cstheme="majorBidi"/>
          <w:b/>
          <w:bCs/>
          <w:color w:val="000000"/>
        </w:rPr>
        <w:t>Sharjah International Commercial Arbitration Centre  (Tahkeem)</w:t>
      </w:r>
      <w:r>
        <w:rPr>
          <w:rFonts w:asciiTheme="majorBidi" w:eastAsia="Calibri" w:hAnsiTheme="majorBidi" w:cstheme="majorBidi"/>
          <w:color w:val="000000"/>
        </w:rPr>
        <w:t>, and the</w:t>
      </w:r>
      <w:r w:rsidR="0031139C" w:rsidRPr="0031139C">
        <w:rPr>
          <w:rFonts w:asciiTheme="majorBidi" w:eastAsia="Calibri" w:hAnsiTheme="majorBidi" w:cstheme="majorBidi"/>
          <w:b/>
          <w:bCs/>
          <w:color w:val="000000"/>
        </w:rPr>
        <w:t xml:space="preserve"> </w:t>
      </w:r>
      <w:r w:rsidR="0031139C">
        <w:rPr>
          <w:rFonts w:asciiTheme="majorBidi" w:eastAsia="Calibri" w:hAnsiTheme="majorBidi" w:cstheme="majorBidi"/>
          <w:b/>
          <w:bCs/>
          <w:color w:val="000000"/>
        </w:rPr>
        <w:t xml:space="preserve">ADGM Dispute Resolution Hearing Centre </w:t>
      </w:r>
      <w:r>
        <w:rPr>
          <w:rFonts w:asciiTheme="majorBidi" w:eastAsia="Calibri" w:hAnsiTheme="majorBidi" w:cstheme="majorBidi"/>
          <w:color w:val="000000"/>
        </w:rPr>
        <w:t>do not contain equally detailed provisions governing the specific modes of electronic communication. Although these institutions increasingly rely on digital platforms for document exchange and procedural notifications, their rules generally adopt a technology-neutral approach, granting broad procedural discretion without prescribing particular electronic methods.</w:t>
      </w:r>
    </w:p>
    <w:p w14:paraId="7759CDB2"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As a result, the detailed electronic communication regime set out in the ICC Rules applies to arbitrations seated in the UAE only where the parties have expressly agreed to submit their dispute to ICC arbitration. In the absence of such agreement, the applicable </w:t>
      </w:r>
      <w:r>
        <w:rPr>
          <w:rFonts w:asciiTheme="majorBidi" w:eastAsia="Calibri" w:hAnsiTheme="majorBidi" w:cstheme="majorBidi"/>
          <w:color w:val="000000"/>
        </w:rPr>
        <w:lastRenderedPageBreak/>
        <w:t>institutional rules—whether DIAC, Tahkeem, or ADGM—govern the proceedings. In such cases, the permissibility of electronic communications is derived from the general procedural flexibility afforded by these rules rather than from an explicit regulatory mandate.</w:t>
      </w:r>
    </w:p>
    <w:p w14:paraId="4B351BAD"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Notwithstanding this flexibility, electronic arbitration may give rise to practical evidentiary challenges. Article 31 of the UAE Arbitration Law empowers the arbitral tribunal to require the production of original documents. Where submissions and exchanges are conducted exclusively through electronic means, the tribunal may be unable to verify original hard-copy documents. This potential limitation underscores the need for clear procedural agreements or institutional guidance addressing the treatment of original documents within electronically conducted arbitral proceedings, so as to reconcile efficiency with evidentiary reliability.</w:t>
      </w:r>
      <w:r>
        <w:rPr>
          <w:rStyle w:val="FootnoteReference"/>
          <w:rFonts w:asciiTheme="majorBidi" w:eastAsia="Calibri" w:hAnsiTheme="majorBidi" w:cstheme="majorBidi"/>
          <w:color w:val="000000"/>
        </w:rPr>
        <w:footnoteReference w:id="230"/>
      </w:r>
      <w:r>
        <w:rPr>
          <w:rFonts w:asciiTheme="majorBidi" w:eastAsia="Calibri" w:hAnsiTheme="majorBidi" w:cstheme="majorBidi"/>
          <w:color w:val="000000"/>
        </w:rPr>
        <w:t>.</w:t>
      </w:r>
    </w:p>
    <w:p w14:paraId="4F7398F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Where electronic means are adopted for the exchange of documents and submissions, communications are typically transmitted by email, whether addressed to the opposing party or directly to the arbitral tribunal. In administering such exchanges, the tribunal is under a duty to ensure that each party is afforded a full and equal opportunity to respond to the submissions, documents, and evidence presented by the other party, and to advance its own defense and supporting materials. This obligation reflects the fundamental right to be heard and to present one’s case, as enshrined in Article 26 of the UAE Arbitration Law.</w:t>
      </w:r>
    </w:p>
    <w:p w14:paraId="20C0CCE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In fulfilling this duty, the arbitral tribunal must also respect each party’s right to call witnesses and to appoint or consult expert witnesses where necessary. Requests relating to witness testimony or expert involvement, as well as the tribunal’s decisions on such requests, </w:t>
      </w:r>
      <w:r>
        <w:rPr>
          <w:rFonts w:asciiTheme="majorBidi" w:eastAsia="Calibri" w:hAnsiTheme="majorBidi" w:cstheme="majorBidi"/>
          <w:color w:val="000000"/>
        </w:rPr>
        <w:lastRenderedPageBreak/>
        <w:t>may be made and communicated electronically. Hearings involving witnesses or experts may likewise be conducted through audiovisual technologies, including closed-circuit television or secure videoconferencing systems.</w:t>
      </w:r>
    </w:p>
    <w:p w14:paraId="1F82374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Accordingly, the arbitral process may proceed entirely through electronic means. This includes the initiation of requests to hear witnesses or appoint experts, the tribunal’s approval of such requests, the preparation and electronic submission of expert reports, and any subsequent discussions or clarifications between the expert and the parties, as contemplated by Article 34 of the UAE Arbitration Law. Given the technical complexity inherent in disputes arising from electronic commerce, the appointment of experts with specialised knowledge in this field is often indispensable to ensure an informed and accurate resolution of the dispute.</w:t>
      </w:r>
      <w:r>
        <w:rPr>
          <w:rStyle w:val="FootnoteReference"/>
          <w:rFonts w:asciiTheme="majorBidi" w:eastAsia="Calibri" w:hAnsiTheme="majorBidi" w:cstheme="majorBidi"/>
          <w:color w:val="000000"/>
        </w:rPr>
        <w:footnoteReference w:id="231"/>
      </w:r>
      <w:r>
        <w:rPr>
          <w:rFonts w:asciiTheme="majorBidi" w:eastAsia="Calibri" w:hAnsiTheme="majorBidi" w:cstheme="majorBidi"/>
          <w:color w:val="000000"/>
        </w:rPr>
        <w:t xml:space="preserve">. </w:t>
      </w:r>
    </w:p>
    <w:p w14:paraId="618E70F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Arbitral proceedings may continue through electronic means until the tribunal enters deliberations and renders a final award resolving the dispute. Deliberations among members of the arbitral tribunal may take place while the arbitrators are located in different jurisdictions, using digital communication technologies such as virtual -based platforms, telephone conferencing, facsimile transmission, or videoconferencing. Given that arbitration law does not prescribe a specific form for deliberation, such flexibility is consistent with the procedural autonomy of the tribunal.</w:t>
      </w:r>
    </w:p>
    <w:p w14:paraId="3090579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This approach is expressly recognised under Article 28(2)(b) of the UAE Arbitration Law, which provides that, unless otherwise agreed by the parties, the arbitral tribunal may conduct deliberation sessions through modern electronic means of communication and </w:t>
      </w:r>
      <w:r>
        <w:rPr>
          <w:rFonts w:asciiTheme="majorBidi" w:eastAsia="Calibri" w:hAnsiTheme="majorBidi" w:cstheme="majorBidi"/>
          <w:color w:val="000000"/>
        </w:rPr>
        <w:lastRenderedPageBreak/>
        <w:t>technology. The provision further requires that the tribunal deliver or transmit the minutes of such deliberation sessions to the parties. Accordingly, electronic deliberation is not only permissible but formally integrated into the UAE arbitration framework, reinforcing the legitimacy and practicality of fully electronic arbitral proceedings.</w:t>
      </w:r>
    </w:p>
    <w:p w14:paraId="2C7E48D4" w14:textId="77777777" w:rsidR="00F073C0" w:rsidRPr="008819FD" w:rsidRDefault="00EC31B2" w:rsidP="009F5ACD">
      <w:pPr>
        <w:pStyle w:val="Heading3"/>
        <w:rPr>
          <w:rFonts w:asciiTheme="majorBidi" w:hAnsiTheme="majorBidi" w:cstheme="majorBidi"/>
        </w:rPr>
      </w:pPr>
      <w:bookmarkStart w:id="128" w:name="_Toc190813295"/>
      <w:bookmarkStart w:id="129" w:name="_Toc209626939"/>
      <w:bookmarkStart w:id="130" w:name="_Toc217491576"/>
      <w:bookmarkStart w:id="131" w:name="_Toc221804525"/>
      <w:r>
        <w:rPr>
          <w:rFonts w:asciiTheme="majorBidi" w:hAnsiTheme="majorBidi" w:cstheme="majorBidi"/>
        </w:rPr>
        <w:t>3.2.3 Electronic Arbitration Award</w:t>
      </w:r>
      <w:bookmarkEnd w:id="128"/>
      <w:bookmarkEnd w:id="129"/>
      <w:bookmarkEnd w:id="130"/>
      <w:bookmarkEnd w:id="131"/>
    </w:p>
    <w:p w14:paraId="03BCAD3C" w14:textId="77777777" w:rsidR="00F073C0" w:rsidRPr="008819FD" w:rsidRDefault="00F073C0" w:rsidP="003E0150">
      <w:pPr>
        <w:numPr>
          <w:ilvl w:val="0"/>
          <w:numId w:val="22"/>
        </w:numPr>
        <w:shd w:val="clear" w:color="auto" w:fill="FFFFFF"/>
        <w:spacing w:before="0" w:after="160" w:line="480" w:lineRule="auto"/>
        <w:ind w:firstLine="360"/>
        <w:contextualSpacing/>
        <w:rPr>
          <w:rFonts w:asciiTheme="majorBidi" w:eastAsia="Calibri" w:hAnsiTheme="majorBidi" w:cstheme="majorBidi"/>
          <w:b/>
          <w:bCs/>
          <w:color w:val="000000"/>
        </w:rPr>
      </w:pPr>
      <w:r>
        <w:rPr>
          <w:rFonts w:asciiTheme="majorBidi" w:eastAsia="Calibri" w:hAnsiTheme="majorBidi" w:cstheme="majorBidi"/>
          <w:b/>
          <w:bCs/>
          <w:color w:val="000000"/>
        </w:rPr>
        <w:t>Definition of Arbitration Award</w:t>
      </w:r>
    </w:p>
    <w:p w14:paraId="784E7D75"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An arbitral award constitutes the final determination rendered by an arbitral tribunal during arbitration proceedings in relation to a dispute submitted to arbitration. Such an award may resolve the dispute in its entirety or in part, or it may address specific issues such as jurisdiction or procedural matters that effectively lead to the resolution of the dispute. What characterises an arbitral award is that it represents an exercise of the tribunal’s adjudicatory authority and exhausts, in whole or in part, its jurisdiction over the matters decided.</w:t>
      </w:r>
    </w:p>
    <w:p w14:paraId="762FE737" w14:textId="77777777" w:rsidR="00F073C0" w:rsidRPr="008819FD" w:rsidRDefault="00F073C0" w:rsidP="00663759">
      <w:pPr>
        <w:pStyle w:val="NormalWeb"/>
        <w:spacing w:line="480" w:lineRule="auto"/>
        <w:ind w:firstLine="720"/>
        <w:rPr>
          <w:rFonts w:asciiTheme="majorBidi" w:hAnsiTheme="majorBidi" w:cstheme="majorBidi"/>
        </w:rPr>
      </w:pPr>
      <w:r>
        <w:rPr>
          <w:rFonts w:asciiTheme="majorBidi" w:hAnsiTheme="majorBidi" w:cstheme="majorBidi"/>
        </w:rPr>
        <w:t>By contrast, decisions that do not dispose of the dispute or conclusively determine an issue within the tribunal’s jurisdiction do not qualify as arbitral awards. This includes procedural or administrative decisions concerning the scheduling, postponement, or location of hearings, as well as interim, precautionary, or provisional measures. Such decisions are preparatory in nature and do not bring the arbitral tribunal’s mandate to an end, nor do they finally resolve any substantive or jurisdictional aspect of the dispute.</w:t>
      </w:r>
      <w:r>
        <w:rPr>
          <w:rStyle w:val="FootnoteReference"/>
          <w:rFonts w:asciiTheme="majorBidi" w:eastAsia="Calibri" w:hAnsiTheme="majorBidi" w:cstheme="majorBidi"/>
          <w:color w:val="000000"/>
        </w:rPr>
        <w:footnoteReference w:id="232"/>
      </w:r>
      <w:r>
        <w:rPr>
          <w:rFonts w:asciiTheme="majorBidi" w:eastAsia="Calibri" w:hAnsiTheme="majorBidi" w:cstheme="majorBidi"/>
          <w:color w:val="000000"/>
        </w:rPr>
        <w:t>.</w:t>
      </w:r>
    </w:p>
    <w:p w14:paraId="26C6109C" w14:textId="77777777" w:rsidR="00F073C0" w:rsidRPr="008819FD" w:rsidRDefault="00F073C0" w:rsidP="00663759">
      <w:pPr>
        <w:numPr>
          <w:ilvl w:val="0"/>
          <w:numId w:val="22"/>
        </w:numPr>
        <w:shd w:val="clear" w:color="auto" w:fill="FFFFFF"/>
        <w:spacing w:before="0" w:after="160" w:line="480" w:lineRule="auto"/>
        <w:ind w:firstLine="720"/>
        <w:contextualSpacing/>
        <w:rPr>
          <w:rFonts w:asciiTheme="majorBidi" w:eastAsia="Calibri" w:hAnsiTheme="majorBidi" w:cstheme="majorBidi"/>
          <w:b/>
          <w:bCs/>
          <w:color w:val="000000"/>
        </w:rPr>
      </w:pPr>
      <w:r>
        <w:rPr>
          <w:rFonts w:asciiTheme="majorBidi" w:eastAsia="Calibri" w:hAnsiTheme="majorBidi" w:cstheme="majorBidi"/>
          <w:b/>
          <w:bCs/>
          <w:color w:val="000000"/>
        </w:rPr>
        <w:t>Electronic form of Arbitration Award</w:t>
      </w:r>
    </w:p>
    <w:p w14:paraId="1777EC3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 xml:space="preserve">International and domestic arbitration frameworks consistently emphasise the formal requirements applicable to arbitral awards, particularly with respect to their written form and authentication. Article 31(1) of the UNCITRAL Model Law on International Commercial Arbitration provides that an arbitral award must be made in writing and signed by the arbitrator or arbitrators. Similarly, Article IV(1) of the New York Convention on the Recognition and Enforcement of Foreign Arbitral Awards requires a party seeking recognition and enforcement to submit either the original arbitral award or a duly certified copy that satisfies the formal requirements applicable to official documents. These provisions underscore the importance of authenticity and evidentiary reliability in the enforcement stage of arbitration </w:t>
      </w:r>
      <w:r>
        <w:rPr>
          <w:rStyle w:val="FootnoteReference"/>
          <w:rFonts w:asciiTheme="majorBidi" w:eastAsia="Calibri" w:hAnsiTheme="majorBidi" w:cstheme="majorBidi"/>
          <w:color w:val="000000"/>
        </w:rPr>
        <w:footnoteReference w:id="233"/>
      </w:r>
      <w:r>
        <w:rPr>
          <w:rFonts w:asciiTheme="majorBidi" w:eastAsia="Calibri" w:hAnsiTheme="majorBidi" w:cstheme="majorBidi"/>
          <w:color w:val="000000"/>
        </w:rPr>
        <w:t>.</w:t>
      </w:r>
    </w:p>
    <w:p w14:paraId="6EAEC982"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Comparable principles are reflected in national arbitration legislation. Article 43 of the Egyptian Arbitration Law, together with Articles 41(2) and 41(3) of the UAE Arbitration Law, governs the formal requirements of arbitral awards, including their authentication through signature. Under the UAE Arbitration Law, an arbitral award must be signed by a majority of the arbitrators, provided that the reasons for any arbitrator’s refusal or inability to sign are clearly recorded in the award. Where dissenting opinions are expressed, they must be formulated in writing or attached to the award and are regarded as forming an integral part of it.</w:t>
      </w:r>
    </w:p>
    <w:p w14:paraId="427568E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Notably, the UAE Arbitration Law embraces a technologically progressive approach by expressly allowing arbitral awards to be signed electronically, unless the parties have agreed otherwise. This explicit recognition of electronic signatures reflects the UAE’s broader </w:t>
      </w:r>
      <w:r>
        <w:rPr>
          <w:rFonts w:asciiTheme="majorBidi" w:eastAsia="Calibri" w:hAnsiTheme="majorBidi" w:cstheme="majorBidi"/>
          <w:color w:val="000000"/>
        </w:rPr>
        <w:lastRenderedPageBreak/>
        <w:t>legislative acceptance of electronic transactions and digital documentation. It also reinforces the legal validity and enforceability of awards rendered through electronically conducted arbitral proceedings, thereby aligning domestic arbitration practice with contemporary international developments.</w:t>
      </w:r>
    </w:p>
    <w:p w14:paraId="2D46365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p>
    <w:p w14:paraId="799E9771" w14:textId="77777777" w:rsidR="00F073C0" w:rsidRPr="008819FD" w:rsidRDefault="00F073C0" w:rsidP="00663759">
      <w:pPr>
        <w:numPr>
          <w:ilvl w:val="0"/>
          <w:numId w:val="22"/>
        </w:numPr>
        <w:shd w:val="clear" w:color="auto" w:fill="FFFFFF"/>
        <w:spacing w:before="0" w:after="160" w:line="480" w:lineRule="auto"/>
        <w:ind w:firstLine="720"/>
        <w:contextualSpacing/>
        <w:rPr>
          <w:rFonts w:asciiTheme="majorBidi" w:eastAsia="Calibri" w:hAnsiTheme="majorBidi" w:cstheme="majorBidi"/>
          <w:b/>
          <w:bCs/>
          <w:color w:val="000000"/>
        </w:rPr>
      </w:pPr>
      <w:r>
        <w:rPr>
          <w:rFonts w:asciiTheme="majorBidi" w:eastAsia="Calibri" w:hAnsiTheme="majorBidi" w:cstheme="majorBidi"/>
          <w:b/>
          <w:bCs/>
          <w:color w:val="000000"/>
        </w:rPr>
        <w:t>Announcing the Arbitration Award Electronically</w:t>
      </w:r>
    </w:p>
    <w:p w14:paraId="5424B7F8" w14:textId="77777777" w:rsidR="00A94B2B" w:rsidRPr="008819FD" w:rsidRDefault="00F073C0" w:rsidP="00663759">
      <w:pPr>
        <w:pStyle w:val="NormalWeb"/>
        <w:spacing w:line="480" w:lineRule="auto"/>
        <w:ind w:firstLine="720"/>
        <w:rPr>
          <w:rFonts w:asciiTheme="majorBidi" w:eastAsia="Calibri" w:hAnsiTheme="majorBidi" w:cstheme="majorBidi"/>
          <w:color w:val="000000"/>
        </w:rPr>
      </w:pPr>
      <w:r>
        <w:rPr>
          <w:rFonts w:asciiTheme="majorBidi" w:hAnsiTheme="majorBidi" w:cstheme="majorBidi"/>
        </w:rPr>
        <w:t>Notification of the arbitral award may be affected through electronic means following its electronic preparation and reproduction in the required number of copies. The award may be communicated to the parties by uploading it to a secure case-management website and granting exclusive access through individual passwords, or by transmitting it directly to the parties via email to notify them of its content. Alternatively, the award may be delivered after printing through electronic transmission methods such as facsimile or telex. These mechanisms collectively ensure the effective and verifiable delivery of arbitral awards to the parties concerned.</w:t>
      </w:r>
      <w:r>
        <w:rPr>
          <w:rStyle w:val="FootnoteReference"/>
          <w:rFonts w:asciiTheme="majorBidi" w:eastAsia="Calibri" w:hAnsiTheme="majorBidi" w:cstheme="majorBidi"/>
          <w:color w:val="000000"/>
        </w:rPr>
        <w:footnoteReference w:id="234"/>
      </w:r>
      <w:r>
        <w:rPr>
          <w:rFonts w:asciiTheme="majorBidi" w:eastAsia="Calibri" w:hAnsiTheme="majorBidi" w:cstheme="majorBidi"/>
          <w:color w:val="000000"/>
        </w:rPr>
        <w:t xml:space="preserve">. In this context, Article 48 of the UAE Arbitration Law affirms the principle of confidentiality by providing that arbitral award, in whole or in part, may not be published without the prior written consent of the parties. However, the publication of judicial decisions that address or relate to an arbitral award does not constitute a breach of this confidentiality obligation. This provision strikes a balance between preserving the private </w:t>
      </w:r>
      <w:r>
        <w:rPr>
          <w:rFonts w:asciiTheme="majorBidi" w:eastAsia="Calibri" w:hAnsiTheme="majorBidi" w:cstheme="majorBidi"/>
          <w:color w:val="000000"/>
        </w:rPr>
        <w:lastRenderedPageBreak/>
        <w:t>nature of arbitration and allowing necessary judicial oversight in enforcement or annulment proceedings.</w:t>
      </w:r>
      <w:r>
        <w:rPr>
          <w:rStyle w:val="FootnoteReference"/>
          <w:rFonts w:asciiTheme="majorBidi" w:eastAsia="Calibri" w:hAnsiTheme="majorBidi" w:cstheme="majorBidi"/>
          <w:color w:val="000000"/>
        </w:rPr>
        <w:footnoteReference w:id="235"/>
      </w:r>
    </w:p>
    <w:p w14:paraId="1FB290EB" w14:textId="77777777" w:rsidR="00F073C0" w:rsidRPr="008819FD" w:rsidRDefault="00F073C0" w:rsidP="00663759">
      <w:pPr>
        <w:numPr>
          <w:ilvl w:val="0"/>
          <w:numId w:val="22"/>
        </w:numPr>
        <w:shd w:val="clear" w:color="auto" w:fill="FFFFFF"/>
        <w:spacing w:before="0" w:after="160" w:line="480" w:lineRule="auto"/>
        <w:ind w:firstLine="720"/>
        <w:contextualSpacing/>
        <w:rPr>
          <w:rFonts w:asciiTheme="majorBidi" w:eastAsia="Calibri" w:hAnsiTheme="majorBidi" w:cstheme="majorBidi"/>
          <w:b/>
          <w:bCs/>
          <w:color w:val="000000"/>
        </w:rPr>
      </w:pPr>
      <w:r>
        <w:rPr>
          <w:rFonts w:asciiTheme="majorBidi" w:eastAsia="Calibri" w:hAnsiTheme="majorBidi" w:cstheme="majorBidi"/>
          <w:b/>
          <w:bCs/>
          <w:color w:val="000000"/>
        </w:rPr>
        <w:t>Electronic Effects of the Arbitration Award</w:t>
      </w:r>
    </w:p>
    <w:p w14:paraId="206E497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An arbitral award rendered through electronic arbitration produces definitive legal effects. Chief among these are its conclusive character and its role in achieving legal certainty between the parties. Once issued, the award exhausts the jurisdiction of the arbitral tribunal in respect of the matters decided, thereby preventing the tribunal from reconsidering or re-adjudicating the same dispute. In addition, the award determines the allocation of arbitration costs, empowering the tribunal to impose the burden of arbitration expenses on the party against whom the award is rendered, in accordance with the applicable procedural rules and the tribunal’s discretionary authority.</w:t>
      </w:r>
      <w:r>
        <w:rPr>
          <w:rStyle w:val="FootnoteReference"/>
          <w:rFonts w:asciiTheme="majorBidi" w:eastAsia="Calibri" w:hAnsiTheme="majorBidi" w:cstheme="majorBidi"/>
          <w:color w:val="000000"/>
        </w:rPr>
        <w:footnoteReference w:id="236"/>
      </w:r>
    </w:p>
    <w:p w14:paraId="4204EF49" w14:textId="77777777" w:rsidR="005D0359" w:rsidRPr="008819FD" w:rsidRDefault="005D0359" w:rsidP="00663759">
      <w:pPr>
        <w:shd w:val="clear" w:color="auto" w:fill="FFFFFF"/>
        <w:spacing w:line="480" w:lineRule="auto"/>
        <w:ind w:firstLine="720"/>
        <w:rPr>
          <w:rFonts w:asciiTheme="majorBidi" w:eastAsia="Calibri" w:hAnsiTheme="majorBidi" w:cstheme="majorBidi"/>
          <w:color w:val="000000"/>
        </w:rPr>
      </w:pPr>
    </w:p>
    <w:p w14:paraId="525C9EEE" w14:textId="77777777" w:rsidR="00F073C0" w:rsidRPr="008819FD" w:rsidRDefault="00F073C0" w:rsidP="00663759">
      <w:pPr>
        <w:numPr>
          <w:ilvl w:val="0"/>
          <w:numId w:val="22"/>
        </w:numPr>
        <w:shd w:val="clear" w:color="auto" w:fill="FFFFFF"/>
        <w:spacing w:before="0" w:after="160" w:line="480" w:lineRule="auto"/>
        <w:ind w:firstLine="720"/>
        <w:contextualSpacing/>
        <w:rPr>
          <w:rFonts w:asciiTheme="majorBidi" w:eastAsia="Calibri" w:hAnsiTheme="majorBidi" w:cstheme="majorBidi"/>
          <w:b/>
          <w:bCs/>
          <w:color w:val="000000"/>
        </w:rPr>
      </w:pPr>
      <w:r>
        <w:rPr>
          <w:rFonts w:asciiTheme="majorBidi" w:eastAsia="Calibri" w:hAnsiTheme="majorBidi" w:cstheme="majorBidi"/>
          <w:b/>
          <w:bCs/>
          <w:color w:val="000000"/>
        </w:rPr>
        <w:t>Exhaustion of the Jurisdiction of the Electronic Arbitration Authority</w:t>
      </w:r>
    </w:p>
    <w:p w14:paraId="464A016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Once an arbitral award has been rendered, the arbitral tribunal is deemed to have exhausted its jurisdiction in respect of the matters decided. In accordance with Article 44 of the UAE Arbitration Law, the tribunal no longer possesses authority to adjudicate any issue that has been conclusively resolved by the award. This principle applies equally to awards </w:t>
      </w:r>
      <w:r>
        <w:rPr>
          <w:rFonts w:asciiTheme="majorBidi" w:eastAsia="Calibri" w:hAnsiTheme="majorBidi" w:cstheme="majorBidi"/>
          <w:color w:val="000000"/>
        </w:rPr>
        <w:lastRenderedPageBreak/>
        <w:t xml:space="preserve">issued in the context of electronic arbitration and reflects the doctrine of </w:t>
      </w:r>
      <w:r>
        <w:rPr>
          <w:rFonts w:asciiTheme="majorBidi" w:eastAsia="Calibri" w:hAnsiTheme="majorBidi" w:cstheme="majorBidi"/>
          <w:i/>
          <w:iCs/>
          <w:color w:val="000000"/>
        </w:rPr>
        <w:t>functus officio</w:t>
      </w:r>
      <w:r>
        <w:rPr>
          <w:rFonts w:asciiTheme="majorBidi" w:eastAsia="Calibri" w:hAnsiTheme="majorBidi" w:cstheme="majorBidi"/>
          <w:color w:val="000000"/>
        </w:rPr>
        <w:t>, which underpins finality and legal certainty in arbitral proceedings.</w:t>
      </w:r>
    </w:p>
    <w:p w14:paraId="2023B5D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Notwithstanding the exhaustion of jurisdiction, the law permits the tribunal to exercise limited residual powers in specific circumstances. Under Article 50, the tribunal may correct material or clerical errors contained in the award, either on its own initiative or upon the request of one of the parties. Furthermore, pursuant to Article 49, the tribunal may interpret any ambiguity in the operative part of the award where such interpretation is sought by a party. In addition, Article 51 authorises the tribunal to issue a supplementary award to address claims or issues that were presented during the proceedings but inadvertently omitted from the final award.</w:t>
      </w:r>
    </w:p>
    <w:p w14:paraId="1502C2A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These corrective, interpretative, and supplementary powers do not constitute a reopening of the arbitration on the merits. Rather, they serve to ensure the completeness, clarity, and accuracy of the award. Importantly, the exercise of such powers is not subject to the original time limits prescribed for the arbitration proceedings, nor does it require the payment of additional arbitration fees, thereby preserving procedural efficiency while safeguarding the integrity of the arbitral process.</w:t>
      </w:r>
    </w:p>
    <w:p w14:paraId="25F2758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rPr>
      </w:pPr>
    </w:p>
    <w:p w14:paraId="6194B036" w14:textId="77777777" w:rsidR="00F073C0" w:rsidRPr="008819FD" w:rsidRDefault="00F073C0" w:rsidP="00663759">
      <w:pPr>
        <w:numPr>
          <w:ilvl w:val="0"/>
          <w:numId w:val="22"/>
        </w:numPr>
        <w:shd w:val="clear" w:color="auto" w:fill="FFFFFF"/>
        <w:spacing w:before="0" w:after="160" w:line="480" w:lineRule="auto"/>
        <w:ind w:firstLine="720"/>
        <w:contextualSpacing/>
        <w:rPr>
          <w:rFonts w:asciiTheme="majorBidi" w:eastAsia="Calibri" w:hAnsiTheme="majorBidi" w:cstheme="majorBidi"/>
          <w:b/>
          <w:bCs/>
          <w:color w:val="000000"/>
          <w:lang w:bidi="ar-AE"/>
        </w:rPr>
      </w:pPr>
      <w:r>
        <w:rPr>
          <w:rFonts w:asciiTheme="majorBidi" w:eastAsia="Calibri" w:hAnsiTheme="majorBidi" w:cstheme="majorBidi"/>
          <w:b/>
          <w:bCs/>
          <w:color w:val="000000"/>
          <w:lang w:bidi="ar-AE"/>
        </w:rPr>
        <w:t>Preserving the Arbitration Award Issued via Electronic Media:</w:t>
      </w:r>
    </w:p>
    <w:p w14:paraId="2038E97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preservation of an arbitral award serves a fundamental procedural purpose, namely, to ensure its availability for recognition, enforcement, and judicial supervision. Traditionally, this is achieved by depositing the original award or a duly signed copy with the </w:t>
      </w:r>
      <w:r>
        <w:rPr>
          <w:rFonts w:asciiTheme="majorBidi" w:eastAsia="Calibri" w:hAnsiTheme="majorBidi" w:cstheme="majorBidi"/>
          <w:color w:val="000000"/>
          <w:lang w:bidi="ar-AE"/>
        </w:rPr>
        <w:lastRenderedPageBreak/>
        <w:t>case management office of the competent court in the state where the award was rendered or in the state where enforcement is sought</w:t>
      </w:r>
      <w:r>
        <w:rPr>
          <w:rStyle w:val="FootnoteReference"/>
          <w:rFonts w:asciiTheme="majorBidi" w:eastAsia="Calibri" w:hAnsiTheme="majorBidi" w:cstheme="majorBidi"/>
          <w:color w:val="000000"/>
          <w:lang w:bidi="ar-AE"/>
        </w:rPr>
        <w:footnoteReference w:id="237"/>
      </w:r>
      <w:r>
        <w:rPr>
          <w:rFonts w:asciiTheme="majorBidi" w:eastAsia="Calibri" w:hAnsiTheme="majorBidi" w:cstheme="majorBidi"/>
          <w:color w:val="000000"/>
          <w:lang w:bidi="ar-AE"/>
        </w:rPr>
        <w:t>.</w:t>
      </w:r>
    </w:p>
    <w:p w14:paraId="4261A95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Certain arbitration frameworks expressly regulate this obligation. For example, Article 28(4) of the Rules of the </w:t>
      </w:r>
      <w:r>
        <w:rPr>
          <w:rFonts w:asciiTheme="majorBidi" w:eastAsia="Calibri" w:hAnsiTheme="majorBidi" w:cstheme="majorBidi"/>
          <w:b/>
          <w:bCs/>
          <w:color w:val="000000"/>
          <w:lang w:bidi="ar-AE"/>
        </w:rPr>
        <w:t>International Chamber of Commerce</w:t>
      </w:r>
      <w:r>
        <w:rPr>
          <w:rFonts w:asciiTheme="majorBidi" w:eastAsia="Calibri" w:hAnsiTheme="majorBidi" w:cstheme="majorBidi"/>
          <w:color w:val="000000"/>
          <w:lang w:bidi="ar-AE"/>
        </w:rPr>
        <w:t xml:space="preserve"> and Article 47 of the Egyptian Arbitration Law specify the party responsible for depositing the award, the required contents, and the court with which the deposit must be made. By contrast, the </w:t>
      </w:r>
      <w:r>
        <w:rPr>
          <w:rFonts w:asciiTheme="majorBidi" w:eastAsia="Calibri" w:hAnsiTheme="majorBidi" w:cstheme="majorBidi"/>
          <w:b/>
          <w:bCs/>
          <w:color w:val="000000"/>
          <w:lang w:bidi="ar-AE"/>
        </w:rPr>
        <w:t>New York Convention on the Recognition and Enforcement of Foreign Arbitral Awards</w:t>
      </w:r>
      <w:r>
        <w:rPr>
          <w:rFonts w:asciiTheme="majorBidi" w:eastAsia="Calibri" w:hAnsiTheme="majorBidi" w:cstheme="majorBidi"/>
          <w:color w:val="000000"/>
          <w:lang w:bidi="ar-AE"/>
        </w:rPr>
        <w:t xml:space="preserve"> does not expressly address the preservation or deposit of arbitral awards, focusing instead on the conditions for their recognition and enforcement.</w:t>
      </w:r>
    </w:p>
    <w:p w14:paraId="37AA350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Within the UAE legal framework, Article 55(1) of the UAE Arbitration Law provides that any party seeking enforcement of an arbitral award must apply for ratification and enforcement to the President of the competent court. This application must be accompanied, inter alia, by evidence that the award has been deposited with the court, including a copy of the record confirming such deposit.</w:t>
      </w:r>
      <w:r>
        <w:rPr>
          <w:rStyle w:val="FootnoteReference"/>
          <w:rFonts w:asciiTheme="majorBidi" w:eastAsia="Calibri" w:hAnsiTheme="majorBidi" w:cstheme="majorBidi"/>
          <w:color w:val="000000"/>
          <w:lang w:bidi="ar-AE"/>
        </w:rPr>
        <w:footnoteReference w:id="238"/>
      </w:r>
      <w:r>
        <w:rPr>
          <w:rFonts w:asciiTheme="majorBidi" w:eastAsia="Calibri" w:hAnsiTheme="majorBidi" w:cstheme="majorBidi"/>
          <w:color w:val="000000"/>
          <w:lang w:bidi="ar-AE"/>
        </w:rPr>
        <w:t>:</w:t>
      </w:r>
    </w:p>
    <w:p w14:paraId="17C1909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the context of electronic arbitration, however, the preservation of arbitral awards necessarily assumes a digital form. Electronic arbitral awards are typically stored and archived through the secure electronic platforms or websites operated by the arbitral institution or tribunal responsible for administering the proceedings. This method of preservation aligns with contemporary standards governing electronic records.</w:t>
      </w:r>
    </w:p>
    <w:p w14:paraId="77D476B2"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 xml:space="preserve">In this regard, Article 10 of the </w:t>
      </w:r>
      <w:r>
        <w:rPr>
          <w:rFonts w:asciiTheme="majorBidi" w:eastAsia="Calibri" w:hAnsiTheme="majorBidi" w:cstheme="majorBidi"/>
          <w:b/>
          <w:bCs/>
          <w:color w:val="000000"/>
          <w:lang w:bidi="ar-AE"/>
        </w:rPr>
        <w:t>UNCITRAL Model Law on Electronic Commerce</w:t>
      </w:r>
      <w:r>
        <w:rPr>
          <w:rFonts w:asciiTheme="majorBidi" w:eastAsia="Calibri" w:hAnsiTheme="majorBidi" w:cstheme="majorBidi"/>
          <w:color w:val="000000"/>
          <w:lang w:bidi="ar-AE"/>
        </w:rPr>
        <w:t xml:space="preserve"> sets out key requirements that must be satisfied when preserving electronic arbitral awards. These include:</w:t>
      </w:r>
    </w:p>
    <w:p w14:paraId="2CDA9150" w14:textId="77777777" w:rsidR="00F073C0" w:rsidRPr="008819FD" w:rsidRDefault="00F073C0" w:rsidP="00663759">
      <w:pPr>
        <w:numPr>
          <w:ilvl w:val="0"/>
          <w:numId w:val="36"/>
        </w:num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ensuring that the information contained in the electronic record remains accessible for subsequent reference.</w:t>
      </w:r>
    </w:p>
    <w:p w14:paraId="58056D46" w14:textId="77777777" w:rsidR="00F073C0" w:rsidRPr="008819FD" w:rsidRDefault="00F073C0" w:rsidP="00663759">
      <w:pPr>
        <w:numPr>
          <w:ilvl w:val="0"/>
          <w:numId w:val="36"/>
        </w:num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maintaining the data message in the form in which it was originally created, sent, or received; and</w:t>
      </w:r>
    </w:p>
    <w:p w14:paraId="633DEDA5" w14:textId="77777777" w:rsidR="00F073C0" w:rsidRPr="008819FD" w:rsidRDefault="00F073C0" w:rsidP="00663759">
      <w:pPr>
        <w:numPr>
          <w:ilvl w:val="0"/>
          <w:numId w:val="36"/>
        </w:num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preserving reliable information identifying the origin of the data message, its intended recipient, and the date and time of its transmission and receipt.</w:t>
      </w:r>
    </w:p>
    <w:p w14:paraId="59D2BD43"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Compliance with these criteria ensures that electronic arbitral awards retain their integrity, authenticity, and evidentiary value, thereby facilitating their recognition and enforcement while preserving legal certainty in digitally conducted arbitration proceedings.</w:t>
      </w:r>
    </w:p>
    <w:p w14:paraId="04B3A9E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n the context of electronic arbitration, however, the preservation of arbitral awards necessarily assumes a digital form. Electronic arbitral awards are typically stored and archived through the secure electronic platforms or websites operated by the arbitral institution or tribunal responsible for administering the proceedings. This method of preservation aligns with contemporary standards governing electronic records.</w:t>
      </w:r>
    </w:p>
    <w:p w14:paraId="7B88DDD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this regard, Article 10 of the </w:t>
      </w:r>
      <w:r>
        <w:rPr>
          <w:rFonts w:asciiTheme="majorBidi" w:eastAsia="Calibri" w:hAnsiTheme="majorBidi" w:cstheme="majorBidi"/>
          <w:b/>
          <w:bCs/>
          <w:color w:val="000000"/>
          <w:lang w:bidi="ar-AE"/>
        </w:rPr>
        <w:t>UNCITRAL Model Law on Electronic Commerce</w:t>
      </w:r>
      <w:r>
        <w:rPr>
          <w:rFonts w:asciiTheme="majorBidi" w:eastAsia="Calibri" w:hAnsiTheme="majorBidi" w:cstheme="majorBidi"/>
          <w:color w:val="000000"/>
          <w:lang w:bidi="ar-AE"/>
        </w:rPr>
        <w:t xml:space="preserve"> sets out key requirements that must be satisfied when preserving electronic arbitral awards. These include:</w:t>
      </w:r>
    </w:p>
    <w:p w14:paraId="4CB3C81D" w14:textId="77777777" w:rsidR="00F073C0" w:rsidRPr="008819FD" w:rsidRDefault="00F073C0" w:rsidP="00663759">
      <w:pPr>
        <w:numPr>
          <w:ilvl w:val="0"/>
          <w:numId w:val="37"/>
        </w:num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ensuring that the information contained in the electronic record remains accessible for subsequent reference.</w:t>
      </w:r>
    </w:p>
    <w:p w14:paraId="2810EB29" w14:textId="77777777" w:rsidR="00F073C0" w:rsidRPr="008819FD" w:rsidRDefault="00F073C0" w:rsidP="00663759">
      <w:pPr>
        <w:numPr>
          <w:ilvl w:val="0"/>
          <w:numId w:val="37"/>
        </w:num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maintaining the data message in the form in which it was originally created, sent, or received; and</w:t>
      </w:r>
    </w:p>
    <w:p w14:paraId="2C1A4994" w14:textId="77777777" w:rsidR="00F073C0" w:rsidRPr="008819FD" w:rsidRDefault="00F073C0" w:rsidP="00663759">
      <w:pPr>
        <w:numPr>
          <w:ilvl w:val="0"/>
          <w:numId w:val="37"/>
        </w:num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preserving reliable information identifying the origin of the data message, its intended recipient, and the date and time of its transmission and receipt.</w:t>
      </w:r>
    </w:p>
    <w:p w14:paraId="078589C3"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Compliance with these criteria ensures that electronic arbitral awards retain their integrity, authenticity, and evidentiary value, thereby facilitating their recognition and enforcement while preserving legal certainty in digitally conducted arbitration proceedings.</w:t>
      </w:r>
    </w:p>
    <w:p w14:paraId="2902ACE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p>
    <w:p w14:paraId="66AFA9BA" w14:textId="77777777" w:rsidR="005D0359" w:rsidRPr="008819FD" w:rsidRDefault="005D0359" w:rsidP="00663759">
      <w:pPr>
        <w:shd w:val="clear" w:color="auto" w:fill="FFFFFF"/>
        <w:spacing w:line="480" w:lineRule="auto"/>
        <w:ind w:firstLine="720"/>
        <w:rPr>
          <w:rFonts w:asciiTheme="majorBidi" w:eastAsia="Calibri" w:hAnsiTheme="majorBidi" w:cstheme="majorBidi"/>
          <w:color w:val="000000"/>
          <w:lang w:bidi="ar-AE"/>
        </w:rPr>
      </w:pPr>
    </w:p>
    <w:p w14:paraId="7C0F2AEB" w14:textId="77777777" w:rsidR="005D0359" w:rsidRPr="008819FD" w:rsidRDefault="005D0359" w:rsidP="00663759">
      <w:pPr>
        <w:shd w:val="clear" w:color="auto" w:fill="FFFFFF"/>
        <w:spacing w:line="480" w:lineRule="auto"/>
        <w:ind w:firstLine="720"/>
        <w:rPr>
          <w:rFonts w:asciiTheme="majorBidi" w:eastAsia="Calibri" w:hAnsiTheme="majorBidi" w:cstheme="majorBidi"/>
          <w:color w:val="000000"/>
          <w:lang w:bidi="ar-AE"/>
        </w:rPr>
      </w:pPr>
    </w:p>
    <w:p w14:paraId="6CEE7E37" w14:textId="77777777" w:rsidR="00F073C0" w:rsidRPr="008819FD" w:rsidRDefault="00F073C0" w:rsidP="00663759">
      <w:pPr>
        <w:numPr>
          <w:ilvl w:val="0"/>
          <w:numId w:val="22"/>
        </w:numPr>
        <w:shd w:val="clear" w:color="auto" w:fill="FFFFFF"/>
        <w:spacing w:before="0" w:after="160" w:line="480" w:lineRule="auto"/>
        <w:ind w:firstLine="720"/>
        <w:contextualSpacing/>
        <w:rPr>
          <w:rFonts w:asciiTheme="majorBidi" w:eastAsia="Calibri" w:hAnsiTheme="majorBidi" w:cstheme="majorBidi"/>
          <w:b/>
          <w:bCs/>
          <w:color w:val="000000"/>
          <w:lang w:bidi="ar-AE"/>
        </w:rPr>
      </w:pPr>
      <w:r>
        <w:rPr>
          <w:rFonts w:asciiTheme="majorBidi" w:eastAsia="Calibri" w:hAnsiTheme="majorBidi" w:cstheme="majorBidi"/>
          <w:b/>
          <w:bCs/>
          <w:color w:val="000000"/>
          <w:lang w:bidi="ar-AE"/>
        </w:rPr>
        <w:t>Implementation of the Arbitration Award Issued via Electronic Media:</w:t>
      </w:r>
    </w:p>
    <w:p w14:paraId="146D0622"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Within the framework of electronic arbitration, there is no physical venue in the traditional sense. The place of arbitration exists only in a juridical or notional capacity, as neither the parties nor the arbitrators are required to convene at a single geographic location. Instead, all procedural interactions are conducted remotely through electronic communication networks. This virtual nature of electronic arbitration gives rise to complex questions concerning the determination of the place and time at which the arbitral award is deemed to have been rendered.</w:t>
      </w:r>
      <w:r>
        <w:rPr>
          <w:rStyle w:val="FootnoteReference"/>
          <w:rFonts w:asciiTheme="majorBidi" w:eastAsia="Calibri" w:hAnsiTheme="majorBidi" w:cstheme="majorBidi"/>
          <w:color w:val="000000"/>
          <w:lang w:bidi="ar-AE"/>
        </w:rPr>
        <w:footnoteReference w:id="239"/>
      </w:r>
      <w:r>
        <w:rPr>
          <w:rFonts w:asciiTheme="majorBidi" w:eastAsia="Calibri" w:hAnsiTheme="majorBidi" w:cstheme="majorBidi"/>
          <w:color w:val="000000"/>
          <w:lang w:bidi="ar-AE"/>
        </w:rPr>
        <w:t>.</w:t>
      </w:r>
    </w:p>
    <w:p w14:paraId="35910D7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To address this uncertainty, parties commonly seek, at the negotiation stage of their contractual relationship, to agree in advance on the legal seat of arbitration and the temporal framework governing the issuance of arbitration requests, procedural communications, and documentary submissions. By predetermining these elements, the parties provide legal certainty as to the applicable procedural law, judicial supervision, and enforcement regime, notwithstanding the absence of a physical arbitral venue. This contractual foresight plays a critical role in ensuring the effectiveness and enforceability of awards rendered within a fully electronic arbitration environment.</w:t>
      </w:r>
      <w:r>
        <w:rPr>
          <w:rStyle w:val="FootnoteReference"/>
          <w:rFonts w:asciiTheme="majorBidi" w:eastAsia="Calibri" w:hAnsiTheme="majorBidi" w:cstheme="majorBidi"/>
          <w:color w:val="000000"/>
          <w:lang w:bidi="ar-AE"/>
        </w:rPr>
        <w:footnoteReference w:id="240"/>
      </w:r>
      <w:r>
        <w:rPr>
          <w:rFonts w:asciiTheme="majorBidi" w:eastAsia="Calibri" w:hAnsiTheme="majorBidi" w:cstheme="majorBidi"/>
          <w:color w:val="000000"/>
          <w:lang w:bidi="ar-AE"/>
        </w:rPr>
        <w:t>.</w:t>
      </w:r>
    </w:p>
    <w:p w14:paraId="18BE29C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Article 52 of the UAE Arbitration Law affirms that an arbitral award enjoys the same executive force as a judicial judgment. However, unlike court judgments, its enforcement is contingent upon obtaining a judicial order ratifying the award. This requirement reflects the balance struck by the UAE legislator between the finality of arbitration and the supervisory role of national courts.</w:t>
      </w:r>
      <w:r>
        <w:rPr>
          <w:rStyle w:val="FootnoteReference"/>
          <w:rFonts w:asciiTheme="majorBidi" w:eastAsia="Calibri" w:hAnsiTheme="majorBidi" w:cstheme="majorBidi"/>
          <w:color w:val="000000"/>
          <w:lang w:bidi="ar-AE"/>
        </w:rPr>
        <w:footnoteReference w:id="241"/>
      </w:r>
      <w:r>
        <w:rPr>
          <w:rFonts w:asciiTheme="majorBidi" w:eastAsia="Calibri" w:hAnsiTheme="majorBidi" w:cstheme="majorBidi"/>
          <w:color w:val="000000"/>
          <w:lang w:bidi="ar-AE"/>
        </w:rPr>
        <w:t>, Article 55 further regulates the enforcement mechanism by requiring the party seeking execution to apply for ratification and enforcement of the arbitral award to the competent court. The application must be accompanied by the documents prescribed by law. The same provision obliges the court to issue its decision granting ratification and enforcement within a period not exceeding sixty days from the date on which the application is filed, thereby promoting procedural efficiency and expeditious enforcement.</w:t>
      </w:r>
    </w:p>
    <w:p w14:paraId="525697A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addition, Article 57 provides that decisions granting or refusing enforcement may be challenged before the competent Court of Appeal. Such an appeal must be lodged within thirty days from the day following formal notification of the decision. Together, these provisions </w:t>
      </w:r>
      <w:r>
        <w:rPr>
          <w:rFonts w:asciiTheme="majorBidi" w:eastAsia="Calibri" w:hAnsiTheme="majorBidi" w:cstheme="majorBidi"/>
          <w:color w:val="000000"/>
          <w:lang w:bidi="ar-AE"/>
        </w:rPr>
        <w:lastRenderedPageBreak/>
        <w:t>establish a clear, time-bound framework for the judicial supervision, enforcement, and review of arbitral awards in the UAE, including those rendered through electronic arbitration proceedings.</w:t>
      </w:r>
      <w:r>
        <w:rPr>
          <w:rStyle w:val="FootnoteReference"/>
          <w:rFonts w:asciiTheme="majorBidi" w:eastAsia="Calibri" w:hAnsiTheme="majorBidi" w:cstheme="majorBidi"/>
          <w:color w:val="000000"/>
          <w:lang w:bidi="ar-AE"/>
        </w:rPr>
        <w:footnoteReference w:id="242"/>
      </w:r>
      <w:r>
        <w:rPr>
          <w:rFonts w:asciiTheme="majorBidi" w:eastAsia="Calibri" w:hAnsiTheme="majorBidi" w:cstheme="majorBidi"/>
          <w:color w:val="000000"/>
          <w:lang w:bidi="ar-AE"/>
        </w:rPr>
        <w:t>.</w:t>
      </w:r>
    </w:p>
    <w:p w14:paraId="5F05D1DD" w14:textId="77777777" w:rsidR="00F073C0" w:rsidRPr="008819FD" w:rsidRDefault="00F073C0" w:rsidP="00663759">
      <w:pPr>
        <w:numPr>
          <w:ilvl w:val="0"/>
          <w:numId w:val="22"/>
        </w:numPr>
        <w:shd w:val="clear" w:color="auto" w:fill="FFFFFF"/>
        <w:spacing w:before="0" w:after="160" w:line="480" w:lineRule="auto"/>
        <w:ind w:firstLine="720"/>
        <w:contextualSpacing/>
        <w:rPr>
          <w:rFonts w:asciiTheme="majorBidi" w:eastAsia="Calibri" w:hAnsiTheme="majorBidi" w:cstheme="majorBidi"/>
          <w:b/>
          <w:bCs/>
          <w:color w:val="000000"/>
          <w:lang w:bidi="ar-AE"/>
        </w:rPr>
      </w:pPr>
      <w:r>
        <w:rPr>
          <w:rFonts w:asciiTheme="majorBidi" w:eastAsia="Calibri" w:hAnsiTheme="majorBidi" w:cstheme="majorBidi"/>
          <w:b/>
          <w:bCs/>
          <w:color w:val="000000"/>
          <w:lang w:bidi="ar-AE"/>
        </w:rPr>
        <w:t>Objection to the Arbitration Award Issued Electronically:</w:t>
      </w:r>
    </w:p>
    <w:p w14:paraId="7D50FB73"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As a general principle, party autonomy allows the parties to an electronic arbitration agreement to regulate the scope of post-award remedies. The parties may agree to waive the right to challenge or appeal an electronic arbitral award, to designate which party is entitled to initiate any challenge, or to subject the arbitral proceedings to a particular procedural law or the rules of a specified electronic arbitral institution that either permit or exclude recourse against the award. Where such recourse is permitted, the applicable rules may also determine the competent authority and the conditions under which a challenge may be brought.</w:t>
      </w:r>
    </w:p>
    <w:p w14:paraId="26CB67C2"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Notwithstanding this contractual freedom, the UAE Arbitration Law adopts a restrictive and exclusive approach to challenges against arbitral awards. Article 53 provides that no objection to an arbitral award may be entertained except by way of an action for nullity brought before the competent court, or incidentally during proceedings relating to the ratification and enforcement of the award. The burden rests on the party seeking nullification to establish one or more of the grounds exhaustively listed in the statute.</w:t>
      </w:r>
    </w:p>
    <w:p w14:paraId="6458566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Article 54 further regulates the nullity action by imposing a strict time limit: the application must be filed within thirty days from the date on which the arbitral award is formally notified to the party seeking annulment. The judgment rendered in a nullity action is </w:t>
      </w:r>
      <w:r>
        <w:rPr>
          <w:rFonts w:asciiTheme="majorBidi" w:eastAsia="Calibri" w:hAnsiTheme="majorBidi" w:cstheme="majorBidi"/>
          <w:color w:val="000000"/>
          <w:lang w:bidi="ar-AE"/>
        </w:rPr>
        <w:lastRenderedPageBreak/>
        <w:t>deemed final and is not subject to appeal by ordinary means, save for a limited challenge by way of cassation.</w:t>
      </w:r>
    </w:p>
    <w:p w14:paraId="2BF811A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This framework reflects the UAE legislator’s intention to preserve the finality and efficiency of arbitral awards, including those rendered through electronic arbitration, while maintaining a narrowly circumscribed judicial review mechanism confined to fundamental procedural and jurisdictional defects</w:t>
      </w:r>
      <w:r>
        <w:rPr>
          <w:rStyle w:val="FootnoteReference"/>
          <w:rFonts w:asciiTheme="majorBidi" w:eastAsia="Calibri" w:hAnsiTheme="majorBidi" w:cstheme="majorBidi"/>
          <w:color w:val="000000"/>
          <w:lang w:bidi="ar-AE"/>
        </w:rPr>
        <w:footnoteReference w:id="243"/>
      </w:r>
      <w:r>
        <w:rPr>
          <w:rFonts w:asciiTheme="majorBidi" w:eastAsia="Calibri" w:hAnsiTheme="majorBidi" w:cstheme="majorBidi"/>
          <w:color w:val="000000"/>
          <w:lang w:bidi="ar-AE"/>
        </w:rPr>
        <w:t>.</w:t>
      </w:r>
    </w:p>
    <w:p w14:paraId="66C9F1C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Article 56 of the UAE Arbitration Law establishes the legal effect of filing a nullity action on the enforcement of an arbitral award. As a rule, the initiation of a nullity suit does not automatically suspend the execution of the arbitral award. This reflects the legislator’s intention to preserve the enforceability and finality of arbitral awards, even where they are subject to judicial challenge.</w:t>
      </w:r>
    </w:p>
    <w:p w14:paraId="6C4D75B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Nevertheless, the court seized of the nullity action retains discretionary power to order a stay of execution, provided that such a request is submitted by one of the parties and is founded on serious and compelling grounds. To ensure procedural efficiency, the law requires the court to decide on any request for suspension within fifteen days from the date of the first hearing scheduled to consider the matter.</w:t>
      </w:r>
    </w:p>
    <w:p w14:paraId="72AB166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Where the court grants a suspension of execution, it may condition such relief on the provision of an appropriate guarantee or financial security by the party requesting the stay. In such circumstances, the court is further obliged to adjudicate the nullity action within sixty days from the date on which the suspension decision is issued.</w:t>
      </w:r>
    </w:p>
    <w:p w14:paraId="2887243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 xml:space="preserve">In addition to filing a nullity action in its original form, the law also permits objections to be raised against the decision ratifying and ordering the enforcement of the arbitral award, whether such objections are submitted independently or during ratification proceedings. This framework ensures a balanced approach, allowing limited judicial oversight while safeguarding the efficiency and enforceability of arbitral awards, including those rendered through electronic arbitration </w:t>
      </w:r>
      <w:r>
        <w:rPr>
          <w:rStyle w:val="FootnoteReference"/>
          <w:rFonts w:asciiTheme="majorBidi" w:eastAsia="Calibri" w:hAnsiTheme="majorBidi" w:cstheme="majorBidi"/>
          <w:color w:val="000000"/>
          <w:lang w:bidi="ar-AE"/>
        </w:rPr>
        <w:footnoteReference w:id="244"/>
      </w:r>
      <w:r>
        <w:rPr>
          <w:rFonts w:asciiTheme="majorBidi" w:eastAsia="Calibri" w:hAnsiTheme="majorBidi" w:cstheme="majorBidi"/>
          <w:color w:val="000000"/>
          <w:lang w:bidi="ar-AE"/>
        </w:rPr>
        <w:t>.</w:t>
      </w:r>
    </w:p>
    <w:p w14:paraId="63843D3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UAE Arbitration Law represents a significant advancement in addressing many of the structural shortcomings and procedural deficiencies that have historically characterized arbitration legislation in several Arab jurisdictions. Nonetheless, certain challenges remain unresolved, whether in the context of traditional paper-based arbitration or in relation to electronic arbitration. These challenges include the determination of the law applicable to electronic arbitral procedures, the identification of the legal capacity and domicile of the parties, the clarification of the moment at which procedural time limits commence, and the mechanisms governing challenges to arbitral awards and their enforcement.</w:t>
      </w:r>
    </w:p>
    <w:p w14:paraId="632E84B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Electronic arbitration has emerged relatively recently within the Arab legal landscape, with the </w:t>
      </w:r>
      <w:r>
        <w:rPr>
          <w:rFonts w:asciiTheme="majorBidi" w:eastAsia="Calibri" w:hAnsiTheme="majorBidi" w:cstheme="majorBidi"/>
          <w:b/>
          <w:bCs/>
          <w:color w:val="000000"/>
          <w:lang w:bidi="ar-AE"/>
        </w:rPr>
        <w:t>United Arab Emirates</w:t>
      </w:r>
      <w:r>
        <w:rPr>
          <w:rFonts w:asciiTheme="majorBidi" w:eastAsia="Calibri" w:hAnsiTheme="majorBidi" w:cstheme="majorBidi"/>
          <w:color w:val="000000"/>
          <w:lang w:bidi="ar-AE"/>
        </w:rPr>
        <w:t xml:space="preserve"> standing at the forefront of this development. Its adoption represents a progressive step towards modernizing dispute resolution mechanisms and aligning them with the realities of digital commerce. However, for electronic arbitration to achieve its full potential, it must be supported by a comprehensive and integrated regulatory framework.</w:t>
      </w:r>
    </w:p>
    <w:p w14:paraId="0AA6FAE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This necessitates further technical standardization and legal clarification, alongside coordinated intervention by international organisations, arbitral institutions, and national </w:t>
      </w:r>
      <w:r>
        <w:rPr>
          <w:rFonts w:asciiTheme="majorBidi" w:eastAsia="Calibri" w:hAnsiTheme="majorBidi" w:cstheme="majorBidi"/>
          <w:color w:val="000000"/>
          <w:lang w:bidi="ar-AE"/>
        </w:rPr>
        <w:lastRenderedPageBreak/>
        <w:t>legislatures. Such collective efforts are essential to establish a coherent and harmonised legal framework capable of addressing the unique procedural, jurisdictional, and technological challenges posed by electronic arbitration, while ensuring legal certainty, procedural fairness, and effective enforcement of arbitral awards.</w:t>
      </w:r>
    </w:p>
    <w:p w14:paraId="42F3A11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Electronic arbitration processes are dependent upon the storage, transmission, and exchange of pleadings, memoranda, evidence, and witness statements on electronic platforms. The use of electronic platforms for pleadings can enhance the arbitration process by promoting efficiency and accessibility but render the procedure susceptible to third-party intrusion. For instance, when pleadings are circulated electronically by email or on an institutional platform, a hacker could potentially intercept such pleadings or they could be leaked through an insecure bandwidth, relying on an insecure platform.</w:t>
      </w:r>
      <w:r>
        <w:rPr>
          <w:rStyle w:val="FootnoteReference"/>
          <w:rFonts w:asciiTheme="majorBidi" w:eastAsia="Calibri" w:hAnsiTheme="majorBidi" w:cstheme="majorBidi"/>
          <w:color w:val="000000"/>
          <w:lang w:bidi="ar-AE"/>
        </w:rPr>
        <w:footnoteReference w:id="245"/>
      </w:r>
      <w:r>
        <w:rPr>
          <w:rFonts w:asciiTheme="majorBidi" w:eastAsia="Calibri" w:hAnsiTheme="majorBidi" w:cstheme="majorBidi"/>
          <w:color w:val="000000"/>
          <w:lang w:bidi="ar-AE"/>
        </w:rPr>
        <w:t xml:space="preserve"> Similarly, eavesdropping may occur during the conduct of virtual hearings or witness examination, conducted during videoconference, where there may not be adequate encryption or multi-factor authentication of the platform being used.</w:t>
      </w:r>
      <w:r>
        <w:rPr>
          <w:rStyle w:val="FootnoteReference"/>
          <w:rFonts w:asciiTheme="majorBidi" w:eastAsia="Calibri" w:hAnsiTheme="majorBidi" w:cstheme="majorBidi"/>
          <w:color w:val="000000"/>
          <w:lang w:bidi="ar-AE"/>
        </w:rPr>
        <w:footnoteReference w:id="246"/>
      </w:r>
    </w:p>
    <w:p w14:paraId="1777EC4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While the UAE Arbitration Law (Federal Law No. 6 of 2018) does acknowledge that hearings, exchanges of evidence, and deliberations may take place by electronic communications (Articles 28, 31, and 41), it does not explicitly require an obligation for arbitral tribunals, arbitral institutions, or parties to maintain the confidentiality and security of electronic documentation and communications.</w:t>
      </w:r>
      <w:r>
        <w:rPr>
          <w:rStyle w:val="FootnoteReference"/>
          <w:rFonts w:asciiTheme="majorBidi" w:eastAsia="Calibri" w:hAnsiTheme="majorBidi" w:cstheme="majorBidi"/>
          <w:color w:val="000000"/>
          <w:lang w:bidi="ar-AE"/>
        </w:rPr>
        <w:footnoteReference w:id="247"/>
      </w:r>
      <w:r>
        <w:rPr>
          <w:rFonts w:asciiTheme="majorBidi" w:eastAsia="Calibri" w:hAnsiTheme="majorBidi" w:cstheme="majorBidi"/>
          <w:color w:val="000000"/>
          <w:lang w:bidi="ar-AE"/>
        </w:rPr>
        <w:t xml:space="preserve"> This is in stark contrast to the global </w:t>
      </w:r>
      <w:r>
        <w:rPr>
          <w:rFonts w:asciiTheme="majorBidi" w:eastAsia="Calibri" w:hAnsiTheme="majorBidi" w:cstheme="majorBidi"/>
          <w:color w:val="000000"/>
          <w:lang w:bidi="ar-AE"/>
        </w:rPr>
        <w:lastRenderedPageBreak/>
        <w:t>practice of arbitral institutions, such as the ICC, which has offered guidance for cybersecurity in arbitration (ICC Note on Cybersecurity, 2020) to complement soft-law frameworks such as the ICCA–IBA Roadmap to Data Protection in International Arbitration, which requires parties to take reasonable steps to protect the security and confidentiality of the documentation and communications.</w:t>
      </w:r>
      <w:r>
        <w:rPr>
          <w:rStyle w:val="FootnoteReference"/>
          <w:rFonts w:asciiTheme="majorBidi" w:eastAsia="Calibri" w:hAnsiTheme="majorBidi" w:cstheme="majorBidi"/>
          <w:color w:val="000000"/>
          <w:lang w:bidi="ar-AE"/>
        </w:rPr>
        <w:footnoteReference w:id="248"/>
      </w:r>
    </w:p>
    <w:p w14:paraId="6EAF984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Therefore, there are currently no provisions in the law that are of equivalent safeguards, meaning that electronic arbitration is open to the risk of data theft and manipulation, and breaking the conditions of confidentiality, collectively undermining the integrity and legitimacy of the arbitral process.</w:t>
      </w:r>
      <w:r>
        <w:rPr>
          <w:rStyle w:val="FootnoteReference"/>
          <w:rFonts w:asciiTheme="majorBidi" w:eastAsia="Calibri" w:hAnsiTheme="majorBidi" w:cstheme="majorBidi"/>
          <w:color w:val="000000"/>
          <w:lang w:bidi="ar-AE"/>
        </w:rPr>
        <w:footnoteReference w:id="249"/>
      </w:r>
      <w:r>
        <w:rPr>
          <w:rFonts w:asciiTheme="majorBidi" w:hAnsiTheme="majorBidi" w:cstheme="majorBidi"/>
          <w:color w:val="513CEA"/>
          <w:shd w:val="clear" w:color="auto" w:fill="FFFFFF"/>
        </w:rPr>
        <w:t xml:space="preserve"> </w:t>
      </w:r>
      <w:r>
        <w:rPr>
          <w:rFonts w:asciiTheme="majorBidi" w:eastAsia="Calibri" w:hAnsiTheme="majorBidi" w:cstheme="majorBidi"/>
          <w:color w:val="000000"/>
          <w:lang w:bidi="ar-AE"/>
        </w:rPr>
        <w:t>Most recently, literature and case experience have shown that even a breach of confidentiality can lead to the expense of significant costs for forensic IT audits and/or damages to reputational integrity, and risk liability under the European General Data Protection Regulation framework (GDPR) and the UAE PDPL.</w:t>
      </w:r>
      <w:r>
        <w:rPr>
          <w:rStyle w:val="FootnoteReference"/>
          <w:rFonts w:asciiTheme="majorBidi" w:eastAsia="Calibri" w:hAnsiTheme="majorBidi" w:cstheme="majorBidi"/>
          <w:color w:val="000000"/>
          <w:lang w:bidi="ar-AE"/>
        </w:rPr>
        <w:footnoteReference w:id="250"/>
      </w:r>
      <w:r>
        <w:rPr>
          <w:rFonts w:asciiTheme="majorBidi" w:hAnsiTheme="majorBidi" w:cstheme="majorBidi"/>
          <w:color w:val="513CEA"/>
          <w:shd w:val="clear" w:color="auto" w:fill="FFFFFF"/>
        </w:rPr>
        <w:t xml:space="preserve"> </w:t>
      </w:r>
      <w:r>
        <w:rPr>
          <w:rFonts w:asciiTheme="majorBidi" w:eastAsia="Calibri" w:hAnsiTheme="majorBidi" w:cstheme="majorBidi"/>
          <w:color w:val="000000"/>
          <w:lang w:bidi="ar-AE"/>
        </w:rPr>
        <w:t>There is a clear connection between the practice of conducting arbitration electronically and the research question of establishing whether there should be immutable regulatory frameworks in place to ensure security and confidentiality when arbitration procedures are conducted electronically.</w:t>
      </w:r>
    </w:p>
    <w:p w14:paraId="617303F6" w14:textId="77777777" w:rsidR="00F073C0" w:rsidRPr="008819FD" w:rsidRDefault="00F073C0" w:rsidP="00663759">
      <w:pPr>
        <w:shd w:val="clear" w:color="auto" w:fill="FFFFFF"/>
        <w:spacing w:line="480" w:lineRule="auto"/>
        <w:ind w:firstLine="720"/>
        <w:rPr>
          <w:rFonts w:asciiTheme="majorBidi" w:eastAsia="Calibri" w:hAnsiTheme="majorBidi" w:cstheme="majorBidi"/>
          <w:b/>
          <w:bCs/>
          <w:color w:val="000000"/>
        </w:rPr>
      </w:pPr>
      <w:r>
        <w:rPr>
          <w:rFonts w:asciiTheme="majorBidi" w:eastAsia="Calibri" w:hAnsiTheme="majorBidi" w:cstheme="majorBidi"/>
          <w:color w:val="000000"/>
          <w:lang w:bidi="ar-AE"/>
        </w:rPr>
        <w:lastRenderedPageBreak/>
        <w:t xml:space="preserve"> </w:t>
      </w:r>
      <w:bookmarkStart w:id="132" w:name="_Toc190813296"/>
      <w:r>
        <w:rPr>
          <w:rFonts w:asciiTheme="majorBidi" w:eastAsia="Calibri" w:hAnsiTheme="majorBidi" w:cstheme="majorBidi"/>
          <w:b/>
          <w:bCs/>
          <w:color w:val="000000"/>
        </w:rPr>
        <w:t>Key Arbitration Institutions in the UAE (Centres)</w:t>
      </w:r>
      <w:bookmarkEnd w:id="132"/>
    </w:p>
    <w:p w14:paraId="146BD88D"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Centres play a pivotal role in the United Arab Emirates (UAE) by providing specialised dispute resolution services that cater to both domestic and international commercial disputes. Given the UAE’s status as a global </w:t>
      </w:r>
      <w:r>
        <w:rPr>
          <w:rFonts w:asciiTheme="majorBidi" w:eastAsia="Calibri" w:hAnsiTheme="majorBidi" w:cstheme="majorBidi"/>
          <w:color w:val="000000"/>
        </w:rPr>
        <w:t>business</w:t>
      </w:r>
      <w:r>
        <w:rPr>
          <w:rFonts w:asciiTheme="majorBidi" w:eastAsia="Calibri" w:hAnsiTheme="majorBidi" w:cstheme="majorBidi"/>
          <w:color w:val="000000"/>
          <w:lang w:bidi="ar-AE"/>
        </w:rPr>
        <w:t xml:space="preserve"> hub and a major centre for trade and investment, the country has established several renowned arbitration institutions to facilitate efficient, impartial, and enforceable arbitration proceedings. These centres operate under modern arbitration laws, ensuring compliance with international best practices and enhancing the UAE’s reputation as an arbitration-friendly jurisdiction.</w:t>
      </w:r>
      <w:r>
        <w:rPr>
          <w:rStyle w:val="FootnoteReference"/>
          <w:rFonts w:asciiTheme="majorBidi" w:eastAsia="Calibri" w:hAnsiTheme="majorBidi" w:cstheme="majorBidi"/>
          <w:color w:val="000000"/>
          <w:lang w:bidi="ar-AE"/>
        </w:rPr>
        <w:footnoteReference w:id="251"/>
      </w:r>
      <w:r>
        <w:rPr>
          <w:rFonts w:asciiTheme="majorBidi" w:eastAsia="Calibri" w:hAnsiTheme="majorBidi" w:cstheme="majorBidi"/>
          <w:color w:val="000000"/>
          <w:lang w:bidi="ar-AE"/>
        </w:rPr>
        <w:t>.</w:t>
      </w:r>
    </w:p>
    <w:p w14:paraId="4A36AA66" w14:textId="6F890FC4" w:rsidR="00F073C0" w:rsidRPr="008819FD" w:rsidRDefault="0031139C" w:rsidP="00663759">
      <w:pPr>
        <w:shd w:val="clear" w:color="auto" w:fill="FFFFFF"/>
        <w:spacing w:line="480" w:lineRule="auto"/>
        <w:ind w:firstLine="720"/>
        <w:rPr>
          <w:rFonts w:asciiTheme="majorBidi" w:eastAsia="Calibri" w:hAnsiTheme="majorBidi" w:cstheme="majorBidi"/>
          <w:color w:val="000000"/>
          <w:lang w:bidi="ar-AE"/>
        </w:rPr>
      </w:pPr>
      <w:r w:rsidRPr="0031139C">
        <w:rPr>
          <w:rFonts w:asciiTheme="majorBidi" w:hAnsiTheme="majorBidi" w:cstheme="majorBidi"/>
          <w:lang w:bidi="ar-AE"/>
        </w:rPr>
        <w:t xml:space="preserve"> </w:t>
      </w:r>
      <w:r>
        <w:rPr>
          <w:rFonts w:asciiTheme="majorBidi" w:hAnsiTheme="majorBidi" w:cstheme="majorBidi"/>
          <w:lang w:bidi="ar-AE"/>
        </w:rPr>
        <w:t>3.2.4 Abu Dhabi Commercial Conciliation and Arbitration Centre (ADCCAC)</w:t>
      </w:r>
      <w:r w:rsidR="00F073C0">
        <w:rPr>
          <w:rFonts w:asciiTheme="majorBidi" w:eastAsia="Calibri" w:hAnsiTheme="majorBidi" w:cstheme="majorBidi"/>
          <w:color w:val="000000"/>
          <w:lang w:bidi="ar-AE"/>
        </w:rPr>
        <w:t xml:space="preserve">The Abu Dhabi Commercial Conciliation and </w:t>
      </w:r>
      <w:r>
        <w:rPr>
          <w:rFonts w:asciiTheme="majorBidi" w:eastAsia="Calibri" w:hAnsiTheme="majorBidi" w:cstheme="majorBidi"/>
          <w:color w:val="000000"/>
          <w:lang w:bidi="ar-AE"/>
        </w:rPr>
        <w:t xml:space="preserve">Arbitration </w:t>
      </w:r>
      <w:r w:rsidR="00F073C0">
        <w:rPr>
          <w:rFonts w:asciiTheme="majorBidi" w:eastAsia="Calibri" w:hAnsiTheme="majorBidi" w:cstheme="majorBidi"/>
          <w:color w:val="000000"/>
          <w:lang w:bidi="ar-AE"/>
        </w:rPr>
        <w:t xml:space="preserve">Centre (ADCCAC) was established in 1993 under the auspices of the Abu Dhabi Chamber of Commerce and Industry. It serves as a premier platform for commercial dispute </w:t>
      </w:r>
      <w:r w:rsidR="00F073C0">
        <w:rPr>
          <w:rFonts w:asciiTheme="majorBidi" w:eastAsia="Calibri" w:hAnsiTheme="majorBidi" w:cstheme="majorBidi"/>
          <w:color w:val="000000"/>
        </w:rPr>
        <w:t>resolution</w:t>
      </w:r>
      <w:r w:rsidR="00F073C0">
        <w:rPr>
          <w:rFonts w:asciiTheme="majorBidi" w:eastAsia="Calibri" w:hAnsiTheme="majorBidi" w:cstheme="majorBidi"/>
          <w:color w:val="000000"/>
          <w:lang w:bidi="ar-AE"/>
        </w:rPr>
        <w:t>, offering conciliation and arbitration services in accordance with international best practices. ADCCAC has developed a reputation for efficiency, neutrality, and accessibility in resolving commercial disputes that arise in both local and international business transactions</w:t>
      </w:r>
      <w:r w:rsidR="00F073C0">
        <w:rPr>
          <w:rStyle w:val="FootnoteReference"/>
          <w:rFonts w:asciiTheme="majorBidi" w:eastAsia="Calibri" w:hAnsiTheme="majorBidi" w:cstheme="majorBidi"/>
          <w:color w:val="000000"/>
          <w:lang w:bidi="ar-AE"/>
        </w:rPr>
        <w:footnoteReference w:id="252"/>
      </w:r>
      <w:r w:rsidR="00F073C0">
        <w:rPr>
          <w:rFonts w:asciiTheme="majorBidi" w:eastAsia="Calibri" w:hAnsiTheme="majorBidi" w:cstheme="majorBidi"/>
          <w:color w:val="000000"/>
          <w:lang w:bidi="ar-AE"/>
        </w:rPr>
        <w:t>.</w:t>
      </w:r>
      <w:r>
        <w:rPr>
          <w:rFonts w:asciiTheme="majorBidi" w:eastAsia="Calibri" w:hAnsiTheme="majorBidi" w:cstheme="majorBidi"/>
          <w:color w:val="000000"/>
          <w:lang w:bidi="ar-AE"/>
        </w:rPr>
        <w:t xml:space="preserve"> It should be noted that, as of 1 February 2024, the ADCCAC was superseded by the Abu Dhabi International Arbitration Centre (arbitrateAD), which assumed the administration of arbitrations formerly conducted under the ADCCAC framework and adopted a modern set of arbitration rules designating the Abu Dhabi Global Market (ADGM) as the default seat. The analysis in this section therefore describes the </w:t>
      </w:r>
      <w:r>
        <w:rPr>
          <w:rFonts w:asciiTheme="majorBidi" w:eastAsia="Calibri" w:hAnsiTheme="majorBidi" w:cstheme="majorBidi"/>
          <w:color w:val="000000"/>
          <w:lang w:bidi="ar-AE"/>
        </w:rPr>
        <w:lastRenderedPageBreak/>
        <w:t>institutional framework as it operated under the ADCCAC and should be read in light of this subsequent development.</w:t>
      </w:r>
    </w:p>
    <w:p w14:paraId="2E33E69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procedural framework of ADCCAC is structured in alignment with the UAE’s Arbitration Law (Federal Law No. 6 of 2018), which is based on the UNCITRAL Model Law. This ensures that arbitration proceedings are </w:t>
      </w:r>
      <w:r>
        <w:rPr>
          <w:rFonts w:asciiTheme="majorBidi" w:eastAsia="Calibri" w:hAnsiTheme="majorBidi" w:cstheme="majorBidi"/>
          <w:color w:val="000000"/>
        </w:rPr>
        <w:t>conducted</w:t>
      </w:r>
      <w:r>
        <w:rPr>
          <w:rFonts w:asciiTheme="majorBidi" w:eastAsia="Calibri" w:hAnsiTheme="majorBidi" w:cstheme="majorBidi"/>
          <w:color w:val="000000"/>
          <w:lang w:bidi="ar-AE"/>
        </w:rPr>
        <w:t xml:space="preserve"> with high levels of transparency and adherence to internationally recognized legal standards. Parties to arbitration can choose their own arbitrators, and the decisions rendered are legally binding, with limited avenues for appeal, ensuring enforceability.</w:t>
      </w:r>
    </w:p>
    <w:p w14:paraId="182313E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Language flexibility is a key feature of ADCCAC’s arbitration services. While Arabic is the official language of proceedings, parties may opt for English if mutually agreed. This linguistic flexibility makes the centre an attractive forum for multinational corporations operating in Abu Dhabi and the broader UAE business landscape.</w:t>
      </w:r>
      <w:r>
        <w:rPr>
          <w:rStyle w:val="FootnoteReference"/>
          <w:rFonts w:asciiTheme="majorBidi" w:eastAsia="Calibri" w:hAnsiTheme="majorBidi" w:cstheme="majorBidi"/>
          <w:color w:val="000000"/>
          <w:lang w:bidi="ar-AE"/>
        </w:rPr>
        <w:footnoteReference w:id="253"/>
      </w:r>
    </w:p>
    <w:p w14:paraId="14BED92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One of the notable aspects of ADCCAC is its </w:t>
      </w:r>
      <w:r>
        <w:rPr>
          <w:rFonts w:asciiTheme="majorBidi" w:eastAsia="Calibri" w:hAnsiTheme="majorBidi" w:cstheme="majorBidi"/>
          <w:color w:val="000000"/>
        </w:rPr>
        <w:t>incorporation</w:t>
      </w:r>
      <w:r>
        <w:rPr>
          <w:rFonts w:asciiTheme="majorBidi" w:eastAsia="Calibri" w:hAnsiTheme="majorBidi" w:cstheme="majorBidi"/>
          <w:color w:val="000000"/>
          <w:lang w:bidi="ar-AE"/>
        </w:rPr>
        <w:t xml:space="preserve"> of technological advancements in arbitration. The centre has progressively embraced digital platforms for case filing, document submission, and virtual hearings. This shift has facilitated the handling of arbitration cases remotely, reducing costs and improving efficiency. Online arbitration procedures have become particularly crucial considering global disruptions such as the COVID-19 pandemic, which underscored the necessity of digitalized legal processes.</w:t>
      </w:r>
    </w:p>
    <w:p w14:paraId="789DD0B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ADCCAC’s online arbitration framework allows parties to submit cases via an online portal, where claimants can register disputes, upload required documentation and monitor the </w:t>
      </w:r>
      <w:r>
        <w:rPr>
          <w:rFonts w:asciiTheme="majorBidi" w:eastAsia="Calibri" w:hAnsiTheme="majorBidi" w:cstheme="majorBidi"/>
          <w:color w:val="000000"/>
          <w:lang w:bidi="ar-AE"/>
        </w:rPr>
        <w:lastRenderedPageBreak/>
        <w:t>progress of their cases. Additionally, the centre provides access to electronic case management tools, ensuring that all parties remain informed about proceedings and deadlines.</w:t>
      </w:r>
      <w:r>
        <w:rPr>
          <w:rStyle w:val="FootnoteReference"/>
          <w:rFonts w:asciiTheme="majorBidi" w:eastAsia="Calibri" w:hAnsiTheme="majorBidi" w:cstheme="majorBidi"/>
          <w:color w:val="000000"/>
          <w:lang w:bidi="ar-AE"/>
        </w:rPr>
        <w:footnoteReference w:id="254"/>
      </w:r>
      <w:r>
        <w:rPr>
          <w:rFonts w:asciiTheme="majorBidi" w:eastAsia="Calibri" w:hAnsiTheme="majorBidi" w:cstheme="majorBidi"/>
          <w:color w:val="000000"/>
          <w:lang w:bidi="ar-AE"/>
        </w:rPr>
        <w:t>.</w:t>
      </w:r>
    </w:p>
    <w:p w14:paraId="595DAA2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use of virtual hearings has expanded significantly at ADCCAC, enabling parties to participate in real-time arbitration sessions from </w:t>
      </w:r>
      <w:r>
        <w:rPr>
          <w:rFonts w:asciiTheme="majorBidi" w:eastAsia="Calibri" w:hAnsiTheme="majorBidi" w:cstheme="majorBidi"/>
          <w:color w:val="000000"/>
        </w:rPr>
        <w:t>anywhere</w:t>
      </w:r>
      <w:r>
        <w:rPr>
          <w:rFonts w:asciiTheme="majorBidi" w:eastAsia="Calibri" w:hAnsiTheme="majorBidi" w:cstheme="majorBidi"/>
          <w:color w:val="000000"/>
          <w:lang w:bidi="ar-AE"/>
        </w:rPr>
        <w:t xml:space="preserve"> in the world. Advanced video conferencing tools with secure encryption mechanisms are employed to maintain confidentiality and prevent data breaches. This feature is particularly beneficial for cases involving international stakeholders who may face logistical challenges in attending in-person hearings.</w:t>
      </w:r>
    </w:p>
    <w:p w14:paraId="79550C01" w14:textId="7C6FEC22"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adoption of virtual hearings at the Abu Dhabi Commercial Conciliation and Arbitration Centre (ADCCAC) has indeed marked a significant development in the practice of arbitration within the UAE. However, for this research, it is crucial to examine whether these practices are formally incorporated into the Centre ’s Arbitration Rules or whether they are facilitated through ad hoc arrangements and technological initiatives of the Centre. The current ADCCAC Arbitration Rules do not contain express provisions mandating or regulating the conduct of virtual hearings. Instead, they provide the tribunal and the parties with a broad procedural flexibility to determine how hearings should be conducted. This flexibility has been interpreted in practice to include the use of video conferencing platforms, particularly in response to the challenges posed by the COVID-19 pandemic.</w:t>
      </w:r>
      <w:r>
        <w:rPr>
          <w:rStyle w:val="FootnoteReference"/>
          <w:rFonts w:asciiTheme="majorBidi" w:eastAsia="Calibri" w:hAnsiTheme="majorBidi" w:cstheme="majorBidi"/>
          <w:color w:val="000000"/>
          <w:lang w:bidi="ar-AE"/>
        </w:rPr>
        <w:footnoteReference w:id="255"/>
      </w:r>
      <w:r>
        <w:rPr>
          <w:rFonts w:asciiTheme="majorBidi" w:eastAsia="Calibri" w:hAnsiTheme="majorBidi" w:cstheme="majorBidi"/>
          <w:color w:val="000000"/>
          <w:lang w:bidi="ar-AE"/>
        </w:rPr>
        <w:t>.</w:t>
      </w:r>
    </w:p>
    <w:p w14:paraId="4EBA75E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absence of an express rule does not diminish the significance of ADCCAC’s move towards virtual hearings. Rather, it demonstrates that institutional practice can evolve beyond </w:t>
      </w:r>
      <w:r>
        <w:rPr>
          <w:rFonts w:asciiTheme="majorBidi" w:eastAsia="Calibri" w:hAnsiTheme="majorBidi" w:cstheme="majorBidi"/>
          <w:color w:val="000000"/>
          <w:lang w:bidi="ar-AE"/>
        </w:rPr>
        <w:lastRenderedPageBreak/>
        <w:t>the written rules to accommodate technological developments. If such provisions were formally codified within the Arbitration Rules, this would strengthen the argument that the existing institutional frameworks already provide adequate protection for confidentiality and data security, thereby reducing the immediate need for separate legislation on data protection in online arbitration. This is because institutional rules, once adopted by the parties, have contractual force and are binding upon them.</w:t>
      </w:r>
    </w:p>
    <w:p w14:paraId="6249FC5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Nevertheless, one must also acknowledge the limitation that such institutional rules only apply to arbitrations administered by ADCCAC or where the parties expressly agree to adopt them. Unlike national legislation, institutional rules lack universal application across all arbitrations seated in the UAE. This means that, while they may enhance data protection standards within the scope of a particular institution, they do not create a uniform national framework applicable to all arbitration proceedings conducted in the country. As a result, the reliance on institutional practice alone may leave gaps in legal certainty, especially in ad hoc arbitrations or those administered by smaller regional centre s.</w:t>
      </w:r>
      <w:r>
        <w:rPr>
          <w:rStyle w:val="FootnoteReference"/>
          <w:rFonts w:asciiTheme="majorBidi" w:eastAsia="Calibri" w:hAnsiTheme="majorBidi" w:cstheme="majorBidi"/>
          <w:color w:val="000000"/>
          <w:lang w:bidi="ar-AE"/>
        </w:rPr>
        <w:footnoteReference w:id="256"/>
      </w:r>
      <w:r>
        <w:rPr>
          <w:rFonts w:asciiTheme="majorBidi" w:eastAsia="Calibri" w:hAnsiTheme="majorBidi" w:cstheme="majorBidi"/>
          <w:color w:val="000000"/>
          <w:lang w:bidi="ar-AE"/>
        </w:rPr>
        <w:t>.</w:t>
      </w:r>
    </w:p>
    <w:p w14:paraId="4B62F5F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This observation also extends to other leading arbitration institutions in the UAE. For example, the Dubai International Arbitration Centre (DIAC) Rules (2022) explicitly acknowledge electronic communication and provide tribunals with discretion to conduct hearings virtually, while the Abu Dhabi Global Market (ADGM) Arbitration Regulations (2015, amended 2020) expressly embrace the use of modern technology in arbitral proceedings. By contrast, the Sharjah International Commercial Arbitration Centre (Tahkeem) Rules (2016) are less detailed in this respect, relying instead on general provisions that afford </w:t>
      </w:r>
      <w:r>
        <w:rPr>
          <w:rFonts w:asciiTheme="majorBidi" w:eastAsia="Calibri" w:hAnsiTheme="majorBidi" w:cstheme="majorBidi"/>
          <w:color w:val="000000"/>
          <w:lang w:bidi="ar-AE"/>
        </w:rPr>
        <w:lastRenderedPageBreak/>
        <w:t>tribunals procedural discretion. Taken together, these examples illustrate that, although arbitration institutions in the UAE are increasingly integrating digital platforms into their procedural frameworks, the scope and detail of such provisions vary. This variability reinforces the need to consider whether a national legislative intervention is necessary to harmonize standards, or whether reliance on institutional ‘soft law’ rules is sufficient to build confidence in online arbitration practices.</w:t>
      </w:r>
      <w:r>
        <w:rPr>
          <w:rStyle w:val="FootnoteReference"/>
          <w:rFonts w:asciiTheme="majorBidi" w:eastAsia="Calibri" w:hAnsiTheme="majorBidi" w:cstheme="majorBidi"/>
          <w:color w:val="000000"/>
          <w:lang w:bidi="ar-AE"/>
        </w:rPr>
        <w:footnoteReference w:id="257"/>
      </w:r>
    </w:p>
    <w:p w14:paraId="2E81F1F3"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ADCCAC also offers a well-structured electronic payment system, streamlining the process of paying arbitration fees. This ensures a smooth </w:t>
      </w:r>
      <w:r>
        <w:rPr>
          <w:rFonts w:asciiTheme="majorBidi" w:eastAsia="Calibri" w:hAnsiTheme="majorBidi" w:cstheme="majorBidi"/>
          <w:color w:val="000000"/>
        </w:rPr>
        <w:t>and</w:t>
      </w:r>
      <w:r>
        <w:rPr>
          <w:rFonts w:asciiTheme="majorBidi" w:eastAsia="Calibri" w:hAnsiTheme="majorBidi" w:cstheme="majorBidi"/>
          <w:color w:val="000000"/>
          <w:lang w:bidi="ar-AE"/>
        </w:rPr>
        <w:t xml:space="preserve"> transparent financial transaction system that is easily accessible to all parties involved in arbitration proceedings. Moreover, the centre is continually updating its digital dispute resolution mechanisms to keep pace with emerging technological trends in arbitration and legal technology.</w:t>
      </w:r>
      <w:r>
        <w:rPr>
          <w:rStyle w:val="FootnoteReference"/>
          <w:rFonts w:asciiTheme="majorBidi" w:eastAsia="Calibri" w:hAnsiTheme="majorBidi" w:cstheme="majorBidi"/>
          <w:color w:val="000000"/>
          <w:lang w:bidi="ar-AE"/>
        </w:rPr>
        <w:footnoteReference w:id="258"/>
      </w:r>
      <w:r>
        <w:rPr>
          <w:rFonts w:asciiTheme="majorBidi" w:eastAsia="Calibri" w:hAnsiTheme="majorBidi" w:cstheme="majorBidi"/>
          <w:color w:val="000000"/>
          <w:lang w:bidi="ar-AE"/>
        </w:rPr>
        <w:t>.</w:t>
      </w:r>
    </w:p>
    <w:p w14:paraId="4A2BB11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Finally, the centre provides extensive digital resources, including online legal research tools, precedent databases, and virtual legal </w:t>
      </w:r>
      <w:r>
        <w:rPr>
          <w:rFonts w:asciiTheme="majorBidi" w:eastAsia="Calibri" w:hAnsiTheme="majorBidi" w:cstheme="majorBidi"/>
          <w:color w:val="000000"/>
        </w:rPr>
        <w:t>advisory</w:t>
      </w:r>
      <w:r>
        <w:rPr>
          <w:rFonts w:asciiTheme="majorBidi" w:eastAsia="Calibri" w:hAnsiTheme="majorBidi" w:cstheme="majorBidi"/>
          <w:color w:val="000000"/>
          <w:lang w:bidi="ar-AE"/>
        </w:rPr>
        <w:t xml:space="preserve"> services. These resources empower parties to better understand arbitration laws, procedural requirements, and past case rulings, enhancing the overall arbitration experience.</w:t>
      </w:r>
    </w:p>
    <w:p w14:paraId="0936D4CC" w14:textId="77777777" w:rsidR="00F073C0" w:rsidRPr="008819FD" w:rsidRDefault="00EC31B2" w:rsidP="009F5ACD">
      <w:pPr>
        <w:pStyle w:val="Heading3"/>
        <w:rPr>
          <w:rFonts w:asciiTheme="majorBidi" w:hAnsiTheme="majorBidi" w:cstheme="majorBidi"/>
          <w:lang w:bidi="ar-AE"/>
        </w:rPr>
      </w:pPr>
      <w:bookmarkStart w:id="133" w:name="_Toc190813298"/>
      <w:bookmarkStart w:id="134" w:name="_Toc209626941"/>
      <w:bookmarkStart w:id="135" w:name="_Toc217491578"/>
      <w:bookmarkStart w:id="136" w:name="_Toc221804527"/>
      <w:r>
        <w:rPr>
          <w:rFonts w:asciiTheme="majorBidi" w:hAnsiTheme="majorBidi" w:cstheme="majorBidi"/>
          <w:lang w:bidi="ar-AE"/>
        </w:rPr>
        <w:t>3.2.5 Dubai International Arbitration Centre (DIAC)</w:t>
      </w:r>
      <w:bookmarkEnd w:id="133"/>
      <w:bookmarkEnd w:id="134"/>
      <w:bookmarkEnd w:id="135"/>
      <w:bookmarkEnd w:id="136"/>
    </w:p>
    <w:p w14:paraId="178E441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Dubai International Arbitration Centre (DIAC) is one of the most prominent centres in the Middle East. Established in 1994, DIAC operates under the Dubai Chamber of Commerce and Industry and provides arbitration services </w:t>
      </w:r>
      <w:r>
        <w:rPr>
          <w:rFonts w:asciiTheme="majorBidi" w:eastAsia="Calibri" w:hAnsiTheme="majorBidi" w:cstheme="majorBidi"/>
          <w:color w:val="000000"/>
        </w:rPr>
        <w:t>for</w:t>
      </w:r>
      <w:r>
        <w:rPr>
          <w:rFonts w:asciiTheme="majorBidi" w:eastAsia="Calibri" w:hAnsiTheme="majorBidi" w:cstheme="majorBidi"/>
          <w:color w:val="000000"/>
          <w:lang w:bidi="ar-AE"/>
        </w:rPr>
        <w:t xml:space="preserve"> commercial disputes across various industries, including real estate, finance, construction, and technology. DIAC has </w:t>
      </w:r>
      <w:r>
        <w:rPr>
          <w:rFonts w:asciiTheme="majorBidi" w:eastAsia="Calibri" w:hAnsiTheme="majorBidi" w:cstheme="majorBidi"/>
          <w:color w:val="000000"/>
          <w:lang w:bidi="ar-AE"/>
        </w:rPr>
        <w:lastRenderedPageBreak/>
        <w:t>gained international recognition for its comprehensive arbitration framework and its commitment to impartial dispute resolution</w:t>
      </w:r>
      <w:r>
        <w:rPr>
          <w:rStyle w:val="FootnoteReference"/>
          <w:rFonts w:asciiTheme="majorBidi" w:eastAsia="Calibri" w:hAnsiTheme="majorBidi" w:cstheme="majorBidi"/>
          <w:color w:val="000000"/>
          <w:lang w:bidi="ar-AE"/>
        </w:rPr>
        <w:footnoteReference w:id="259"/>
      </w:r>
      <w:r>
        <w:rPr>
          <w:rFonts w:asciiTheme="majorBidi" w:eastAsia="Calibri" w:hAnsiTheme="majorBidi" w:cstheme="majorBidi"/>
          <w:color w:val="000000"/>
          <w:lang w:bidi="ar-AE"/>
        </w:rPr>
        <w:t>.</w:t>
      </w:r>
    </w:p>
    <w:p w14:paraId="47D7FA9B"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DIAC’s arbitration process follows the DIAC Rules, which were updated in 2022 to align with international best practices and accommodate the evolving nature of business disputes. The centre allows parties to appoint arbitrators of </w:t>
      </w:r>
      <w:r>
        <w:rPr>
          <w:rFonts w:asciiTheme="majorBidi" w:eastAsia="Calibri" w:hAnsiTheme="majorBidi" w:cstheme="majorBidi"/>
          <w:color w:val="000000"/>
        </w:rPr>
        <w:t>their</w:t>
      </w:r>
      <w:r>
        <w:rPr>
          <w:rFonts w:asciiTheme="majorBidi" w:eastAsia="Calibri" w:hAnsiTheme="majorBidi" w:cstheme="majorBidi"/>
          <w:color w:val="000000"/>
          <w:lang w:bidi="ar-AE"/>
        </w:rPr>
        <w:t xml:space="preserve"> choice, provided they meet DIAC’s stringent qualification criteria. This ensures that arbitration proceedings are conducted by experienced professionals with subject-matter expertise.</w:t>
      </w:r>
      <w:r>
        <w:rPr>
          <w:rStyle w:val="FootnoteReference"/>
          <w:rFonts w:asciiTheme="majorBidi" w:eastAsia="Calibri" w:hAnsiTheme="majorBidi" w:cstheme="majorBidi"/>
          <w:color w:val="000000"/>
          <w:lang w:bidi="ar-AE"/>
        </w:rPr>
        <w:footnoteReference w:id="260"/>
      </w:r>
      <w:r>
        <w:rPr>
          <w:rFonts w:asciiTheme="majorBidi" w:eastAsia="Calibri" w:hAnsiTheme="majorBidi" w:cstheme="majorBidi"/>
          <w:color w:val="000000"/>
          <w:lang w:bidi="ar-AE"/>
        </w:rPr>
        <w:t>.</w:t>
      </w:r>
    </w:p>
    <w:p w14:paraId="43B5DFA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use of English is widely accepted at DIAC, making it an attractive venue for foreign investors and international businesses operating in Dubai. While Arabic remains a commonly used language, DIAC’s multilingual arbitration framework allows proceedings to be conducted in English, French, and other major business languages </w:t>
      </w:r>
      <w:r>
        <w:rPr>
          <w:rFonts w:asciiTheme="majorBidi" w:eastAsia="Calibri" w:hAnsiTheme="majorBidi" w:cstheme="majorBidi"/>
          <w:color w:val="000000"/>
        </w:rPr>
        <w:t>upon</w:t>
      </w:r>
      <w:r>
        <w:rPr>
          <w:rFonts w:asciiTheme="majorBidi" w:eastAsia="Calibri" w:hAnsiTheme="majorBidi" w:cstheme="majorBidi"/>
          <w:color w:val="000000"/>
          <w:lang w:bidi="ar-AE"/>
        </w:rPr>
        <w:t xml:space="preserve"> agreement by the parties involved.</w:t>
      </w:r>
    </w:p>
    <w:p w14:paraId="3350FCBB"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 significant transformation in DIAC’s arbitration procedures is the implementation of online dispute resolution mechanisms. The centre </w:t>
      </w:r>
      <w:r>
        <w:rPr>
          <w:rFonts w:asciiTheme="majorBidi" w:eastAsia="Calibri" w:hAnsiTheme="majorBidi" w:cstheme="majorBidi"/>
          <w:color w:val="000000"/>
        </w:rPr>
        <w:t>has</w:t>
      </w:r>
      <w:r>
        <w:rPr>
          <w:rFonts w:asciiTheme="majorBidi" w:eastAsia="Calibri" w:hAnsiTheme="majorBidi" w:cstheme="majorBidi"/>
          <w:color w:val="000000"/>
          <w:lang w:bidi="ar-AE"/>
        </w:rPr>
        <w:t xml:space="preserve"> introduced a dedicated online case management platform, where parties can initiate arbitration, submit pleadings, and access case documents digitally. This platform enhances efficiency by reducing the reliance on physical paperwork and ensuring seamless communication between arbitrators and disputing parties.</w:t>
      </w:r>
      <w:r>
        <w:rPr>
          <w:rStyle w:val="FootnoteReference"/>
          <w:rFonts w:asciiTheme="majorBidi" w:eastAsia="Calibri" w:hAnsiTheme="majorBidi" w:cstheme="majorBidi"/>
          <w:color w:val="000000"/>
          <w:lang w:bidi="ar-AE"/>
        </w:rPr>
        <w:footnoteReference w:id="261"/>
      </w:r>
      <w:r>
        <w:rPr>
          <w:rFonts w:asciiTheme="majorBidi" w:eastAsia="Calibri" w:hAnsiTheme="majorBidi" w:cstheme="majorBidi"/>
          <w:color w:val="000000"/>
          <w:lang w:bidi="ar-AE"/>
        </w:rPr>
        <w:t>.</w:t>
      </w:r>
    </w:p>
    <w:p w14:paraId="44FC523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Virtual hearings have indeed become an integral part of the operations of the Dubai International Arbitration Centre (DIAC), particularly after the COVID-19 pandemic accelerated the digitization of arbitral processes. Unlike some other arbitration institutions, </w:t>
      </w:r>
      <w:r>
        <w:rPr>
          <w:rFonts w:asciiTheme="majorBidi" w:eastAsia="Calibri" w:hAnsiTheme="majorBidi" w:cstheme="majorBidi"/>
          <w:color w:val="000000"/>
          <w:lang w:bidi="ar-AE"/>
        </w:rPr>
        <w:lastRenderedPageBreak/>
        <w:t>DIAC has expressly addressed the issue in its 2022 Arbitration Rules. Article 3 of the Rules recognizes electronic communications as a valid means of serving notices and documents, while Article 20 provides that hearings may be conducted in person or remotely through video or teleconference facilities, subject to the tribunal’s discretion. These provisions effectively institutionalize the use of online hearings and confirm their legitimacy within the DIAC framework.</w:t>
      </w:r>
    </w:p>
    <w:p w14:paraId="1EEB28B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incorporation of such provisions into the binding rules of the centre has important implications for the present study. On the one hand, it supports the argument that institutional rules themselves can create sufficient legal certainty regarding the use of digital platforms in arbitration. In this sense, one could argue that new legislation specifically addressing data protection in online arbitration may not be immediately necessary, as the existing DIAC rules already safeguard party autonomy and procedural flexibility while endorsing virtual hearings as a legitimate practice.</w:t>
      </w:r>
      <w:r>
        <w:rPr>
          <w:rStyle w:val="FootnoteReference"/>
          <w:rFonts w:asciiTheme="majorBidi" w:eastAsia="Calibri" w:hAnsiTheme="majorBidi" w:cstheme="majorBidi"/>
          <w:color w:val="000000"/>
          <w:lang w:bidi="ar-AE"/>
        </w:rPr>
        <w:footnoteReference w:id="262"/>
      </w:r>
      <w:r>
        <w:rPr>
          <w:rFonts w:asciiTheme="majorBidi" w:eastAsia="Calibri" w:hAnsiTheme="majorBidi" w:cstheme="majorBidi"/>
          <w:color w:val="000000"/>
          <w:lang w:bidi="ar-AE"/>
        </w:rPr>
        <w:t>.</w:t>
      </w:r>
    </w:p>
    <w:p w14:paraId="3E854C9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On the other hand, however, it must be acknowledged that DIAC’s rules, no matter how progressive, apply only to arbitrations administered under its auspices or where the parties explicitly agree to adopt them. They do not extend to ad hoc arbitrations seated in Dubai, nor do they govern proceedings under other institutional rules in the UAE. This limitation means that, while DIAC’s embrace of virtual hearings enhances confidence and sets a strong example, it cannot serve as a substitute for a uniform national framework that applies across all arbitral proceedings in the UAE.</w:t>
      </w:r>
    </w:p>
    <w:p w14:paraId="1AD9315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This analysis reinforces the broader comparative point that institutional “soft law” mechanisms—such as DIAC’s Rules (2022), the ADGM Arbitration Regulations (2015, amended 2020), and the Seoul Protocol on Video Conferencing (2020)—play an increasingly important role in bridging the gap between technological innovation and legal certainty. Nevertheless, the fragmented nature of these provisions across institutions highlights the potential value of a legislative framework at the national level to harmonize practices, ensure consistency, and strengthen confidence in online arbitration within the UAE.</w:t>
      </w:r>
      <w:r>
        <w:rPr>
          <w:rStyle w:val="FootnoteReference"/>
          <w:rFonts w:asciiTheme="majorBidi" w:eastAsia="Calibri" w:hAnsiTheme="majorBidi" w:cstheme="majorBidi"/>
          <w:color w:val="000000"/>
          <w:lang w:bidi="ar-AE"/>
        </w:rPr>
        <w:footnoteReference w:id="263"/>
      </w:r>
    </w:p>
    <w:p w14:paraId="1946148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To further streamline its online arbitration services, DIAC has developed electronic evidence submission tools, enabling parties to submit </w:t>
      </w:r>
      <w:r>
        <w:rPr>
          <w:rFonts w:asciiTheme="majorBidi" w:eastAsia="Calibri" w:hAnsiTheme="majorBidi" w:cstheme="majorBidi"/>
          <w:color w:val="000000"/>
        </w:rPr>
        <w:t>digital</w:t>
      </w:r>
      <w:r>
        <w:rPr>
          <w:rFonts w:asciiTheme="majorBidi" w:eastAsia="Calibri" w:hAnsiTheme="majorBidi" w:cstheme="majorBidi"/>
          <w:color w:val="000000"/>
          <w:lang w:bidi="ar-AE"/>
        </w:rPr>
        <w:t xml:space="preserve"> evidence securely. These tools are supported by blockchain technology to enhance data integrity and prevent tampering. The integration of blockchain in arbitration ensures that digital records remain unaltered and verifiable throughout the arbitration process.</w:t>
      </w:r>
    </w:p>
    <w:p w14:paraId="308E043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Moreover, DIAC has launched AI-powered legal research tools that assist parties and arbitrators in analyzing precedents, legal arguments, and case laws. These tools provide enhanced efficiency in drafting legal submissions and preparing for arbitration proceedings. By leveraging artificial intelligence, DIAC continues to optimize its arbitration framework and facilitate more informed decision-making.</w:t>
      </w:r>
      <w:r>
        <w:rPr>
          <w:rStyle w:val="FootnoteReference"/>
          <w:rFonts w:asciiTheme="majorBidi" w:eastAsia="Calibri" w:hAnsiTheme="majorBidi" w:cstheme="majorBidi"/>
          <w:color w:val="000000"/>
          <w:lang w:bidi="ar-AE"/>
        </w:rPr>
        <w:footnoteReference w:id="264"/>
      </w:r>
    </w:p>
    <w:p w14:paraId="534479E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digitalization of arbitration at DIAC extends to its electronic payment solutions, allowing for secure online transactions for arbitration fees </w:t>
      </w:r>
      <w:r>
        <w:rPr>
          <w:rFonts w:asciiTheme="majorBidi" w:eastAsia="Calibri" w:hAnsiTheme="majorBidi" w:cstheme="majorBidi"/>
          <w:color w:val="000000"/>
        </w:rPr>
        <w:t>and</w:t>
      </w:r>
      <w:r>
        <w:rPr>
          <w:rFonts w:asciiTheme="majorBidi" w:eastAsia="Calibri" w:hAnsiTheme="majorBidi" w:cstheme="majorBidi"/>
          <w:color w:val="000000"/>
          <w:lang w:bidi="ar-AE"/>
        </w:rPr>
        <w:t xml:space="preserve"> related costs. The system is </w:t>
      </w:r>
      <w:r>
        <w:rPr>
          <w:rFonts w:asciiTheme="majorBidi" w:eastAsia="Calibri" w:hAnsiTheme="majorBidi" w:cstheme="majorBidi"/>
          <w:color w:val="000000"/>
          <w:lang w:bidi="ar-AE"/>
        </w:rPr>
        <w:lastRenderedPageBreak/>
        <w:t>integrated with leading financial institutions to ensure fast and reliable payments, making the arbitration process more convenient for all parties.</w:t>
      </w:r>
    </w:p>
    <w:p w14:paraId="0505C7E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DIAC remains committed to expanding its </w:t>
      </w:r>
      <w:r>
        <w:rPr>
          <w:rFonts w:asciiTheme="majorBidi" w:eastAsia="Calibri" w:hAnsiTheme="majorBidi" w:cstheme="majorBidi"/>
          <w:color w:val="000000"/>
        </w:rPr>
        <w:t>digital</w:t>
      </w:r>
      <w:r>
        <w:rPr>
          <w:rFonts w:asciiTheme="majorBidi" w:eastAsia="Calibri" w:hAnsiTheme="majorBidi" w:cstheme="majorBidi"/>
          <w:color w:val="000000"/>
          <w:lang w:bidi="ar-AE"/>
        </w:rPr>
        <w:t xml:space="preserve"> arbitration services and is actively exploring machine learning and predictive analytics to enhance dispute resolution efficiency. With the integration of cutting-edge technologies, DIAC is positioning itself as a leader in online arbitration solutions in the UAE and the wider Middle East region.</w:t>
      </w:r>
    </w:p>
    <w:p w14:paraId="49D182E3" w14:textId="77777777" w:rsidR="00F073C0" w:rsidRPr="008819FD" w:rsidRDefault="00EC31B2" w:rsidP="009F5ACD">
      <w:pPr>
        <w:pStyle w:val="Heading3"/>
        <w:rPr>
          <w:rFonts w:asciiTheme="majorBidi" w:hAnsiTheme="majorBidi" w:cstheme="majorBidi"/>
          <w:lang w:bidi="ar-AE"/>
        </w:rPr>
      </w:pPr>
      <w:bookmarkStart w:id="137" w:name="_Toc190813299"/>
      <w:bookmarkStart w:id="138" w:name="_Toc209626942"/>
      <w:bookmarkStart w:id="139" w:name="_Toc217491579"/>
      <w:bookmarkStart w:id="140" w:name="_Toc221804528"/>
      <w:r>
        <w:rPr>
          <w:rFonts w:asciiTheme="majorBidi" w:hAnsiTheme="majorBidi" w:cstheme="majorBidi"/>
          <w:lang w:bidi="ar-AE"/>
        </w:rPr>
        <w:t>3.2.6 The International Islamic Centre for Reconciliation and Arbitration (IICRA)</w:t>
      </w:r>
      <w:bookmarkEnd w:id="137"/>
      <w:bookmarkEnd w:id="138"/>
      <w:bookmarkEnd w:id="139"/>
      <w:bookmarkEnd w:id="140"/>
    </w:p>
    <w:p w14:paraId="0597263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International Islamic Centre for Reconciliation and Arbitration (IICRA) is a globally recognized institution specializing in the resolution of disputes related to Islamic finance, banking, and commercial transactions that adhere to Shariah principles. Established as an independent, non-profit organisation, IICRA provides an </w:t>
      </w:r>
      <w:r>
        <w:rPr>
          <w:rFonts w:asciiTheme="majorBidi" w:eastAsia="Calibri" w:hAnsiTheme="majorBidi" w:cstheme="majorBidi"/>
          <w:color w:val="000000"/>
        </w:rPr>
        <w:t>authoritative</w:t>
      </w:r>
      <w:r>
        <w:rPr>
          <w:rFonts w:asciiTheme="majorBidi" w:eastAsia="Calibri" w:hAnsiTheme="majorBidi" w:cstheme="majorBidi"/>
          <w:color w:val="000000"/>
          <w:lang w:bidi="ar-AE"/>
        </w:rPr>
        <w:t xml:space="preserve"> platform for parties seeking resolution through Shariah-compliant arbitration and conciliation processes.</w:t>
      </w:r>
      <w:r>
        <w:rPr>
          <w:rStyle w:val="FootnoteReference"/>
          <w:rFonts w:asciiTheme="majorBidi" w:eastAsia="Calibri" w:hAnsiTheme="majorBidi" w:cstheme="majorBidi"/>
          <w:color w:val="000000"/>
          <w:lang w:bidi="ar-AE"/>
        </w:rPr>
        <w:footnoteReference w:id="265"/>
      </w:r>
      <w:r>
        <w:rPr>
          <w:rFonts w:asciiTheme="majorBidi" w:eastAsia="Calibri" w:hAnsiTheme="majorBidi" w:cstheme="majorBidi"/>
          <w:color w:val="000000"/>
          <w:lang w:bidi="ar-AE"/>
        </w:rPr>
        <w:t>.</w:t>
      </w:r>
    </w:p>
    <w:p w14:paraId="12A2E1F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One of the key features distinguishing IICRA from other centres is its commitment to Islamic jurisprudence. The centre employs highly qualified arbitrators and scholars with extensive expertise in Islamic finance and commercial law, ensuring that all arbitration proceedings adhere to the principles of Islamic contracts, ethics, and dispute resolution mechanisms as outlined in Shariah law. This makes IICRA the preferred arbitration body for disputes involving Islamic financial institutions, banks, investment firms, and businesses engaging in Islamic contracts.</w:t>
      </w:r>
      <w:r>
        <w:rPr>
          <w:rStyle w:val="FootnoteReference"/>
          <w:rFonts w:asciiTheme="majorBidi" w:eastAsia="Calibri" w:hAnsiTheme="majorBidi" w:cstheme="majorBidi"/>
          <w:color w:val="000000"/>
          <w:lang w:bidi="ar-AE"/>
        </w:rPr>
        <w:footnoteReference w:id="266"/>
      </w:r>
      <w:r>
        <w:rPr>
          <w:rFonts w:asciiTheme="majorBidi" w:eastAsia="Calibri" w:hAnsiTheme="majorBidi" w:cstheme="majorBidi"/>
          <w:color w:val="000000"/>
          <w:lang w:bidi="ar-AE"/>
        </w:rPr>
        <w:t>.</w:t>
      </w:r>
    </w:p>
    <w:p w14:paraId="0DC327C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 xml:space="preserve">IICRA has made significant strides in digitalizing arbitration procedures. Recognizing the increasing globalization of Islamic finance, the centre has established an online dispute resolution system that enables parties to file cases </w:t>
      </w:r>
      <w:r>
        <w:rPr>
          <w:rFonts w:asciiTheme="majorBidi" w:eastAsia="Calibri" w:hAnsiTheme="majorBidi" w:cstheme="majorBidi"/>
          <w:color w:val="000000"/>
        </w:rPr>
        <w:t>electronically</w:t>
      </w:r>
      <w:r>
        <w:rPr>
          <w:rFonts w:asciiTheme="majorBidi" w:eastAsia="Calibri" w:hAnsiTheme="majorBidi" w:cstheme="majorBidi"/>
          <w:color w:val="000000"/>
          <w:lang w:bidi="ar-AE"/>
        </w:rPr>
        <w:t>, submit documents digitally, and attend virtual hearings. This shift to online arbitration has greatly improved accessibility for stakeholders operating across multiple jurisdictions, particularly in Gulf Cooperation Council (GCC) countries, Southeast Asia, and Europe, where Islamic finance has seen significant growth (Harris &amp; Zhou, 2024).</w:t>
      </w:r>
    </w:p>
    <w:p w14:paraId="12D9EAD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centre's electronic arbitration portal allows claimants and respondents to track case progress, upload evidence, and communicate securely with arbitrators. Additionally, IICRA offers an extensive library of digital legal resources, case precedents, and Shariah rulings, providing invaluable guidance to parties involved in arbitration.</w:t>
      </w:r>
      <w:r>
        <w:rPr>
          <w:rStyle w:val="FootnoteReference"/>
          <w:rFonts w:asciiTheme="majorBidi" w:eastAsia="Calibri" w:hAnsiTheme="majorBidi" w:cstheme="majorBidi"/>
          <w:color w:val="000000"/>
          <w:lang w:bidi="ar-AE"/>
        </w:rPr>
        <w:footnoteReference w:id="267"/>
      </w:r>
      <w:r>
        <w:rPr>
          <w:rFonts w:asciiTheme="majorBidi" w:eastAsia="Calibri" w:hAnsiTheme="majorBidi" w:cstheme="majorBidi"/>
          <w:color w:val="000000"/>
          <w:lang w:bidi="ar-AE"/>
        </w:rPr>
        <w:t>.</w:t>
      </w:r>
    </w:p>
    <w:p w14:paraId="4D130303"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rtl/>
          <w:lang w:bidi="ar-AE"/>
        </w:rPr>
        <w:t xml:space="preserve"> </w:t>
      </w:r>
      <w:r>
        <w:rPr>
          <w:rFonts w:asciiTheme="majorBidi" w:eastAsia="Calibri" w:hAnsiTheme="majorBidi" w:cstheme="majorBidi"/>
          <w:color w:val="000000"/>
          <w:lang w:bidi="ar-AE"/>
        </w:rPr>
        <w:t xml:space="preserve">Virtual hearings at the International Islamic Centre for Reconciliation and Arbitration (IICRA) are increasingly conducted through advanced video conferencing technologies designed to ensure efficiency and confidentiality in remote arbitration proceedings. However, for this research, it is important to determine whether such practices are formally enshrined in the Centre ’s Arbitration Rules or whether they remain a matter of institutional practice and tribunal discretion. A review of the IICRA Arbitration Rules indicates that, while the Rules recognize electronic communication and permit a degree of flexibility in conducting proceedings, they do not contain detailed provisions equivalent to those found in the DIAC Rules (2022) or the ADGM Arbitration Regulations expressly addressing virtual hearings. As </w:t>
      </w:r>
      <w:r>
        <w:rPr>
          <w:rFonts w:asciiTheme="majorBidi" w:eastAsia="Calibri" w:hAnsiTheme="majorBidi" w:cstheme="majorBidi"/>
          <w:color w:val="000000"/>
          <w:lang w:bidi="ar-AE"/>
        </w:rPr>
        <w:lastRenderedPageBreak/>
        <w:t>a result, the conduct of online proceedings at IICRA is largely guided by party agreement and the tribunal’s authority, rather than by explicit rule-based mandates.</w:t>
      </w:r>
      <w:r>
        <w:rPr>
          <w:rStyle w:val="FootnoteReference"/>
          <w:rFonts w:asciiTheme="majorBidi" w:eastAsia="Calibri" w:hAnsiTheme="majorBidi" w:cstheme="majorBidi"/>
          <w:color w:val="000000"/>
          <w:lang w:bidi="ar-AE"/>
        </w:rPr>
        <w:footnoteReference w:id="268"/>
      </w:r>
      <w:r>
        <w:rPr>
          <w:rFonts w:asciiTheme="majorBidi" w:eastAsia="Calibri" w:hAnsiTheme="majorBidi" w:cstheme="majorBidi"/>
          <w:color w:val="000000"/>
          <w:lang w:bidi="ar-AE"/>
        </w:rPr>
        <w:t>.</w:t>
      </w:r>
    </w:p>
    <w:p w14:paraId="6D6759D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implications of this are twofold. On one hand, the absence of detailed rules demonstrates the adaptability of Islamic arbitration institutions, where reliance on party autonomy and Sharia-compliant principles allows for digital innovation without contradicting the religious and legal framework underpinning the Centre ’s jurisdiction. This flexibility is particularly significant given the complex nature of Islamic commercial law disputes, which often involve multi-party cases, cross-border transactions, and financial claims based on instruments such as Murabaha, Ijarah, and Sukuk. On the other hand, the lack of explicit provisions raises questions about legal certainty and consistency, particularly in relation to data protection, cybersecurity standards, and the enforceability of awards rendered through virtual proceedings</w:t>
      </w:r>
      <w:r>
        <w:rPr>
          <w:rStyle w:val="FootnoteReference"/>
          <w:rFonts w:asciiTheme="majorBidi" w:eastAsia="Calibri" w:hAnsiTheme="majorBidi" w:cstheme="majorBidi"/>
          <w:color w:val="000000"/>
          <w:lang w:bidi="ar-AE"/>
        </w:rPr>
        <w:footnoteReference w:id="269"/>
      </w:r>
      <w:r>
        <w:rPr>
          <w:rFonts w:asciiTheme="majorBidi" w:eastAsia="Calibri" w:hAnsiTheme="majorBidi" w:cstheme="majorBidi"/>
          <w:color w:val="000000"/>
          <w:lang w:bidi="ar-AE"/>
        </w:rPr>
        <w:t>.</w:t>
      </w:r>
    </w:p>
    <w:p w14:paraId="30ED649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If IICRA were to incorporate specific provisions on virtual hearings and digital confidentiality safeguards into its Rules, this could strengthen the argument that institutional frameworks themselves can address the challenges of online arbitration without the need for separate legislative intervention. At the same time, it must be recognized that such provisions, if introduced, would only govern disputes submitted to IICRA under party agreement and would not extend to other arbitral forums in the UAE. Consequently, while IICRA’s current reliance on advanced technology highlights the institution’s proactive role in embracing digital </w:t>
      </w:r>
      <w:r>
        <w:rPr>
          <w:rFonts w:asciiTheme="majorBidi" w:eastAsia="Calibri" w:hAnsiTheme="majorBidi" w:cstheme="majorBidi"/>
          <w:color w:val="000000"/>
          <w:lang w:bidi="ar-AE"/>
        </w:rPr>
        <w:lastRenderedPageBreak/>
        <w:t>transformation, the limited scope of its Rules reinforces the broader concern of fragmentation in the UAE’s arbitral landscape</w:t>
      </w:r>
      <w:r>
        <w:rPr>
          <w:rStyle w:val="FootnoteReference"/>
          <w:rFonts w:asciiTheme="majorBidi" w:eastAsia="Calibri" w:hAnsiTheme="majorBidi" w:cstheme="majorBidi"/>
          <w:color w:val="000000"/>
          <w:lang w:bidi="ar-AE"/>
        </w:rPr>
        <w:footnoteReference w:id="270"/>
      </w:r>
      <w:r>
        <w:rPr>
          <w:rFonts w:asciiTheme="majorBidi" w:eastAsia="Calibri" w:hAnsiTheme="majorBidi" w:cstheme="majorBidi"/>
          <w:color w:val="000000"/>
          <w:lang w:bidi="ar-AE"/>
        </w:rPr>
        <w:t>.</w:t>
      </w:r>
    </w:p>
    <w:p w14:paraId="1E38E19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This observation parallels the experience of other UAE arbitration centre s such as DIAC, ADCCAC, and Sharjah’s Tahkeem, where varying levels of detail in institutional rules on digital processes highlight the tension between flexibility and uniformity. It suggests that, although institutional “soft law” mechanisms play a vital role, the absence of comprehensive statutory provisions means that parties’ confidence in online arbitration—particularly where sensitive financial and commercial information is concerned—remains contingent on the choice of forum and rules rather than on a harmonised national standard.</w:t>
      </w:r>
    </w:p>
    <w:p w14:paraId="0732B3C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IICRA’s adoption of blockchain technology for evidence verification further enhances the integrity of arbitration proceedings. By securing documentation through tamper-proof digital records, IICRA ensures that all case-related submissions are immutable and transparent. This innovation significantly enhances trust, efficiency, and fairness in arbitration processes while aligning with Islamic legal principles.</w:t>
      </w:r>
      <w:r>
        <w:rPr>
          <w:rStyle w:val="FootnoteReference"/>
          <w:rFonts w:asciiTheme="majorBidi" w:eastAsia="Calibri" w:hAnsiTheme="majorBidi" w:cstheme="majorBidi"/>
          <w:color w:val="000000"/>
          <w:lang w:bidi="ar-AE"/>
        </w:rPr>
        <w:footnoteReference w:id="271"/>
      </w:r>
      <w:r>
        <w:rPr>
          <w:rFonts w:asciiTheme="majorBidi" w:eastAsia="Calibri" w:hAnsiTheme="majorBidi" w:cstheme="majorBidi"/>
          <w:color w:val="000000"/>
          <w:lang w:bidi="ar-AE"/>
        </w:rPr>
        <w:t>.</w:t>
      </w:r>
    </w:p>
    <w:p w14:paraId="3F267D1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centre also offers AI-powered research tools to assist arbitrators and legal practitioners in analyzing past case rulings, identifying relevant Islamic legal precedents, and ensuring consistency in arbitration decisions. This integration of technology enhances the accuracy and efficiency of arbitration outcomes, making IICRA a leader in the digital transformation of Shariah-based dispute resolution.</w:t>
      </w:r>
    </w:p>
    <w:p w14:paraId="4299482D"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As Islamic finance continues to expand globally, IICRA remains committed to strengthening its online arbitration services, ensuring that businesses and financial institutions engaged in Shariah-compliant commercial transactions have access to a highly specialised and technologically advanced dispute resolution framework.</w:t>
      </w:r>
    </w:p>
    <w:p w14:paraId="0D72AD02" w14:textId="77777777" w:rsidR="00F073C0" w:rsidRPr="008819FD" w:rsidRDefault="00EC31B2" w:rsidP="009F5ACD">
      <w:pPr>
        <w:pStyle w:val="Heading3"/>
        <w:rPr>
          <w:rFonts w:asciiTheme="majorBidi" w:hAnsiTheme="majorBidi" w:cstheme="majorBidi"/>
          <w:lang w:bidi="ar-AE"/>
        </w:rPr>
      </w:pPr>
      <w:bookmarkStart w:id="141" w:name="_Toc190813300"/>
      <w:bookmarkStart w:id="142" w:name="_Toc209626943"/>
      <w:bookmarkStart w:id="143" w:name="_Toc217491580"/>
      <w:bookmarkStart w:id="144" w:name="_Toc221804529"/>
      <w:r>
        <w:rPr>
          <w:rFonts w:asciiTheme="majorBidi" w:eastAsia="Times New Roman" w:hAnsiTheme="majorBidi" w:cstheme="majorBidi"/>
          <w:lang w:bidi="ar-AE"/>
        </w:rPr>
        <w:t xml:space="preserve">3.2.7 </w:t>
      </w:r>
      <w:r>
        <w:rPr>
          <w:rFonts w:asciiTheme="majorBidi" w:hAnsiTheme="majorBidi" w:cstheme="majorBidi"/>
          <w:lang w:bidi="ar-AE"/>
        </w:rPr>
        <w:t>Sharjah International Commercial Arbitration Centre (TAHKEEM)</w:t>
      </w:r>
      <w:bookmarkEnd w:id="141"/>
      <w:bookmarkEnd w:id="142"/>
      <w:bookmarkEnd w:id="143"/>
      <w:bookmarkEnd w:id="144"/>
    </w:p>
    <w:p w14:paraId="0363E43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Sharjah International Commercial Arbitration Centre (TAHKEEM) is a leading arbitration institution in the United Arab Emirates, specializing in the resolution of commercial disputes across various sectors. Established under the </w:t>
      </w:r>
      <w:r>
        <w:rPr>
          <w:rFonts w:asciiTheme="majorBidi" w:eastAsia="Calibri" w:hAnsiTheme="majorBidi" w:cstheme="majorBidi"/>
          <w:color w:val="000000"/>
        </w:rPr>
        <w:t>supervision</w:t>
      </w:r>
      <w:r>
        <w:rPr>
          <w:rFonts w:asciiTheme="majorBidi" w:eastAsia="Calibri" w:hAnsiTheme="majorBidi" w:cstheme="majorBidi"/>
          <w:color w:val="000000"/>
          <w:lang w:bidi="ar-AE"/>
        </w:rPr>
        <w:t xml:space="preserve"> of the Sharjah Chamber of Commerce and Industry, TAHKEEM provides businesses with an efficient, impartial, and legally recognized arbitration framework, making it a vital hub for resolving disputes in the UAE.</w:t>
      </w:r>
    </w:p>
    <w:p w14:paraId="2A36FE8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TAHKEEM distinguishes itself through its structured arbitration framework, which adheres to international best practices and the UAE’s </w:t>
      </w:r>
      <w:r>
        <w:rPr>
          <w:rFonts w:asciiTheme="majorBidi" w:eastAsia="Calibri" w:hAnsiTheme="majorBidi" w:cstheme="majorBidi"/>
          <w:color w:val="000000"/>
        </w:rPr>
        <w:t>Federal</w:t>
      </w:r>
      <w:r>
        <w:rPr>
          <w:rFonts w:asciiTheme="majorBidi" w:eastAsia="Calibri" w:hAnsiTheme="majorBidi" w:cstheme="majorBidi"/>
          <w:color w:val="000000"/>
          <w:lang w:bidi="ar-AE"/>
        </w:rPr>
        <w:t xml:space="preserve"> Arbitration Law (No. 6 of 2018). This ensures that arbitration proceedings at TAHKEEM are legally enforceable, expeditious, and tailored to meet the needs of businesses operating in Sharjah and beyond. The centre has gained a strong reputation for resolving disputes related to trade, investment, real estate, construction, and logistics.</w:t>
      </w:r>
      <w:r>
        <w:rPr>
          <w:rStyle w:val="FootnoteReference"/>
          <w:rFonts w:asciiTheme="majorBidi" w:eastAsia="Calibri" w:hAnsiTheme="majorBidi" w:cstheme="majorBidi"/>
          <w:color w:val="000000"/>
          <w:lang w:bidi="ar-AE"/>
        </w:rPr>
        <w:footnoteReference w:id="272"/>
      </w:r>
      <w:r>
        <w:rPr>
          <w:rFonts w:asciiTheme="majorBidi" w:eastAsia="Calibri" w:hAnsiTheme="majorBidi" w:cstheme="majorBidi"/>
          <w:color w:val="000000"/>
          <w:lang w:bidi="ar-AE"/>
        </w:rPr>
        <w:t>.</w:t>
      </w:r>
    </w:p>
    <w:p w14:paraId="1AD048A2"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Recognizing the increasing need for digital arbitration services, TAHKEEM has fully integrated electronic case management systems, allowing parties </w:t>
      </w:r>
      <w:r>
        <w:rPr>
          <w:rFonts w:asciiTheme="majorBidi" w:eastAsia="Calibri" w:hAnsiTheme="majorBidi" w:cstheme="majorBidi"/>
          <w:color w:val="000000"/>
        </w:rPr>
        <w:t>to</w:t>
      </w:r>
      <w:r>
        <w:rPr>
          <w:rFonts w:asciiTheme="majorBidi" w:eastAsia="Calibri" w:hAnsiTheme="majorBidi" w:cstheme="majorBidi"/>
          <w:color w:val="000000"/>
          <w:lang w:bidi="ar-AE"/>
        </w:rPr>
        <w:t xml:space="preserve"> initiate arbitration, submit documents, and track case developments online. The TAHKEEM e-Arbitration Portal ensures </w:t>
      </w:r>
      <w:r>
        <w:rPr>
          <w:rFonts w:asciiTheme="majorBidi" w:eastAsia="Calibri" w:hAnsiTheme="majorBidi" w:cstheme="majorBidi"/>
          <w:color w:val="000000"/>
          <w:lang w:bidi="ar-AE"/>
        </w:rPr>
        <w:lastRenderedPageBreak/>
        <w:t>that arbitration procedures can be conducted remotely, reducing the reliance on traditional in-person hearings and expediting dispute resolution processes.</w:t>
      </w:r>
      <w:r>
        <w:rPr>
          <w:rStyle w:val="FootnoteReference"/>
          <w:rFonts w:asciiTheme="majorBidi" w:eastAsia="Calibri" w:hAnsiTheme="majorBidi" w:cstheme="majorBidi"/>
          <w:color w:val="000000"/>
          <w:lang w:bidi="ar-AE"/>
        </w:rPr>
        <w:footnoteReference w:id="273"/>
      </w:r>
      <w:r>
        <w:rPr>
          <w:rFonts w:asciiTheme="majorBidi" w:eastAsia="Calibri" w:hAnsiTheme="majorBidi" w:cstheme="majorBidi"/>
          <w:color w:val="000000"/>
          <w:lang w:bidi="ar-AE"/>
        </w:rPr>
        <w:t>.</w:t>
      </w:r>
    </w:p>
    <w:p w14:paraId="437F276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The Sharjah International Commercial Arbitration Centre (TAHKEEM) has indeed embraced virtual hearings as part of its broader commitment to modernization and efficiency in dispute resolution. Secure video conferencing technologies are increasingly used to facilitate participation by parties across jurisdictions, thereby reducing logistical burdens and costs, particularly in cases involving parties located on different continents and time zones. However, in the context of this research, it is important to examine whether such practices are expressly codified within TAHKEEM’s institutional rules or whether they remain dependent on procedural discretion and party agreement. A review of TAHKEEM’s 2016 Arbitration Rules reveals that, while the Rules grant arbitral tribunals broad procedural flexibility, they do not contain explicit provisions directly addressing the conduct of virtual hearings in the same detailed manner as those found in the DIAC Rules (2022) or the ADGM Arbitration Regulations (2015, amended 2020)</w:t>
      </w:r>
      <w:r>
        <w:rPr>
          <w:rStyle w:val="FootnoteReference"/>
          <w:rFonts w:asciiTheme="majorBidi" w:eastAsia="Calibri" w:hAnsiTheme="majorBidi" w:cstheme="majorBidi"/>
          <w:color w:val="000000"/>
          <w:lang w:bidi="ar-AE"/>
        </w:rPr>
        <w:footnoteReference w:id="274"/>
      </w:r>
      <w:r>
        <w:rPr>
          <w:rFonts w:asciiTheme="majorBidi" w:eastAsia="Calibri" w:hAnsiTheme="majorBidi" w:cstheme="majorBidi"/>
          <w:color w:val="000000"/>
          <w:lang w:bidi="ar-AE"/>
        </w:rPr>
        <w:t>.</w:t>
      </w:r>
    </w:p>
    <w:p w14:paraId="0018396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implications of this omission are significant. On one hand, it underscores the adaptability of TAHKEEM to incorporate digital technologies within the flexible framework of its Rules, allowing for the use of virtual hearings without requiring formal amendments. This flexibility aligns with the Centre ’s modernization agenda and provides practical solutions for cross-border disputes. On the other hand, the lack of explicit rule-based </w:t>
      </w:r>
      <w:r>
        <w:rPr>
          <w:rFonts w:asciiTheme="majorBidi" w:eastAsia="Calibri" w:hAnsiTheme="majorBidi" w:cstheme="majorBidi"/>
          <w:color w:val="000000"/>
          <w:lang w:bidi="ar-AE"/>
        </w:rPr>
        <w:lastRenderedPageBreak/>
        <w:t>provisions creates uncertainty regarding data protection, cybersecurity standards, and the enforceability of awards rendered through virtual proceedings. In the absence of clear institutional guidance, the responsibility to ensure confidentiality and security in online hearings is left largely to the tribunal’s discretion and the parties’ agreement, which may result in inconsistent practices across cases.</w:t>
      </w:r>
    </w:p>
    <w:p w14:paraId="3C5EA56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If TAHKEEM were to codify explicit provisions on virtual hearings, this would strengthen the argument that institutional rules alone can serve as an adequate regulatory framework for online arbitration, thereby reducing the need for additional legislative intervention. Nevertheless, even if such provisions were adopted, they would only govern arbitrations administered by TAHKEEM or cases in which the parties expressly agreed to apply its Rules. They would not extend to ad hoc arbitrations or to disputes administered by other centres within the UAE. This limited scope highlights the ongoing tension between the benefits of institutional “soft law” solutions and the potential need for harmonised “hard law” legislation to provide uniform standards across the UAE’s arbitration landscape</w:t>
      </w:r>
      <w:r>
        <w:rPr>
          <w:rStyle w:val="FootnoteReference"/>
          <w:rFonts w:asciiTheme="majorBidi" w:eastAsia="Calibri" w:hAnsiTheme="majorBidi" w:cstheme="majorBidi"/>
          <w:color w:val="000000"/>
          <w:lang w:bidi="ar-AE"/>
        </w:rPr>
        <w:footnoteReference w:id="275"/>
      </w:r>
      <w:r>
        <w:rPr>
          <w:rFonts w:asciiTheme="majorBidi" w:eastAsia="Calibri" w:hAnsiTheme="majorBidi" w:cstheme="majorBidi"/>
          <w:color w:val="000000"/>
          <w:lang w:bidi="ar-AE"/>
        </w:rPr>
        <w:t>.</w:t>
      </w:r>
    </w:p>
    <w:p w14:paraId="15FBD50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This situation mirrors the broader trends observed in other UAE arbitration institutions: while DIAC and ADGM have expressly codified digital communication and remote hearings into their frameworks, ADCCAC and TAHKEEM continue to rely on more general procedural flexibility. The resulting patchwork of provisions illustrates both the adaptability and the fragmentation of the UAE’s arbitral framework, raising important policy questions about whether reliance on institutional rules is sufficient to safeguard confidentiality </w:t>
      </w:r>
      <w:r>
        <w:rPr>
          <w:rFonts w:asciiTheme="majorBidi" w:eastAsia="Calibri" w:hAnsiTheme="majorBidi" w:cstheme="majorBidi"/>
          <w:color w:val="000000"/>
          <w:lang w:bidi="ar-AE"/>
        </w:rPr>
        <w:lastRenderedPageBreak/>
        <w:t>and ensure consistency, or whether legislative intervention is necessary to harmonize standards at the national level.</w:t>
      </w:r>
      <w:r>
        <w:rPr>
          <w:rStyle w:val="FootnoteReference"/>
          <w:rFonts w:asciiTheme="majorBidi" w:eastAsia="Calibri" w:hAnsiTheme="majorBidi" w:cstheme="majorBidi"/>
          <w:color w:val="000000"/>
          <w:lang w:bidi="ar-AE"/>
        </w:rPr>
        <w:footnoteReference w:id="276"/>
      </w:r>
    </w:p>
    <w:p w14:paraId="7928640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centre also offers an innovative electronic evidence submission system, which enhances efficiency in handling arbitration cases. Parties can </w:t>
      </w:r>
      <w:r>
        <w:rPr>
          <w:rFonts w:asciiTheme="majorBidi" w:eastAsia="Calibri" w:hAnsiTheme="majorBidi" w:cstheme="majorBidi"/>
          <w:color w:val="000000"/>
        </w:rPr>
        <w:t>submit</w:t>
      </w:r>
      <w:r>
        <w:rPr>
          <w:rFonts w:asciiTheme="majorBidi" w:eastAsia="Calibri" w:hAnsiTheme="majorBidi" w:cstheme="majorBidi"/>
          <w:color w:val="000000"/>
          <w:lang w:bidi="ar-AE"/>
        </w:rPr>
        <w:t xml:space="preserve"> contracts, invoices, expert reports, and other relevant documentation digitally, ensuring swift access to case-related materials. Moreover, TAHKEEM ensures that all digital submissions are encrypted and securely stored, reinforcing confidentiality and data integrity.</w:t>
      </w:r>
      <w:r>
        <w:rPr>
          <w:rStyle w:val="FootnoteReference"/>
          <w:rFonts w:asciiTheme="majorBidi" w:eastAsia="Calibri" w:hAnsiTheme="majorBidi" w:cstheme="majorBidi"/>
          <w:color w:val="000000"/>
          <w:lang w:bidi="ar-AE"/>
        </w:rPr>
        <w:footnoteReference w:id="277"/>
      </w:r>
      <w:r>
        <w:rPr>
          <w:rFonts w:asciiTheme="majorBidi" w:eastAsia="Calibri" w:hAnsiTheme="majorBidi" w:cstheme="majorBidi"/>
          <w:color w:val="000000"/>
          <w:lang w:bidi="ar-AE"/>
        </w:rPr>
        <w:t>.</w:t>
      </w:r>
    </w:p>
    <w:p w14:paraId="1D915AE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To further enhance the arbitration process, TAHKEEM has implemented AI-driven case analysis tools, allowing arbitrators and legal professionals </w:t>
      </w:r>
      <w:r>
        <w:rPr>
          <w:rFonts w:asciiTheme="majorBidi" w:eastAsia="Calibri" w:hAnsiTheme="majorBidi" w:cstheme="majorBidi"/>
          <w:color w:val="000000"/>
        </w:rPr>
        <w:t>to</w:t>
      </w:r>
      <w:r>
        <w:rPr>
          <w:rFonts w:asciiTheme="majorBidi" w:eastAsia="Calibri" w:hAnsiTheme="majorBidi" w:cstheme="majorBidi"/>
          <w:color w:val="000000"/>
          <w:lang w:bidi="ar-AE"/>
        </w:rPr>
        <w:t xml:space="preserve"> conduct advanced research on past rulings, contract interpretations, and industry-specific arbitration precedents. This initiative ensures consistency in arbitration decisions while streamlining the preparation of case arguments and legal submissions.</w:t>
      </w:r>
    </w:p>
    <w:p w14:paraId="6C57F50D"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digital transformation of arbitration at TAHKEEM extends to its electronic payment gateway, which facilitates seamless and secure transactions </w:t>
      </w:r>
      <w:r>
        <w:rPr>
          <w:rFonts w:asciiTheme="majorBidi" w:eastAsia="Calibri" w:hAnsiTheme="majorBidi" w:cstheme="majorBidi"/>
          <w:color w:val="000000"/>
        </w:rPr>
        <w:t>for</w:t>
      </w:r>
      <w:r>
        <w:rPr>
          <w:rFonts w:asciiTheme="majorBidi" w:eastAsia="Calibri" w:hAnsiTheme="majorBidi" w:cstheme="majorBidi"/>
          <w:color w:val="000000"/>
          <w:lang w:bidi="ar-AE"/>
        </w:rPr>
        <w:t xml:space="preserve"> arbitration fees. By integrating with major financial institutions, the centre ensures that payments are processed efficiently, eliminating administrative delays.</w:t>
      </w:r>
      <w:r>
        <w:rPr>
          <w:rStyle w:val="FootnoteReference"/>
          <w:rFonts w:asciiTheme="majorBidi" w:eastAsia="Calibri" w:hAnsiTheme="majorBidi" w:cstheme="majorBidi"/>
          <w:color w:val="000000"/>
          <w:lang w:bidi="ar-AE"/>
        </w:rPr>
        <w:footnoteReference w:id="278"/>
      </w:r>
      <w:r>
        <w:rPr>
          <w:rFonts w:asciiTheme="majorBidi" w:eastAsia="Calibri" w:hAnsiTheme="majorBidi" w:cstheme="majorBidi"/>
          <w:color w:val="000000"/>
          <w:lang w:bidi="ar-AE"/>
        </w:rPr>
        <w:t>.</w:t>
      </w:r>
    </w:p>
    <w:p w14:paraId="0560DDF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As part of its future vision, TAHKEEM is exploring blockchain-based smart contracts to automate aspects of dispute resolution, particularly in </w:t>
      </w:r>
      <w:r>
        <w:rPr>
          <w:rFonts w:asciiTheme="majorBidi" w:eastAsia="Calibri" w:hAnsiTheme="majorBidi" w:cstheme="majorBidi"/>
          <w:color w:val="000000"/>
        </w:rPr>
        <w:t>commercial</w:t>
      </w:r>
      <w:r>
        <w:rPr>
          <w:rFonts w:asciiTheme="majorBidi" w:eastAsia="Calibri" w:hAnsiTheme="majorBidi" w:cstheme="majorBidi"/>
          <w:color w:val="000000"/>
          <w:lang w:bidi="ar-AE"/>
        </w:rPr>
        <w:t xml:space="preserve"> transactions that require self-executing contractual obligations. By integrating smart contracts into arbitration, the </w:t>
      </w:r>
      <w:r>
        <w:rPr>
          <w:rFonts w:asciiTheme="majorBidi" w:eastAsia="Calibri" w:hAnsiTheme="majorBidi" w:cstheme="majorBidi"/>
          <w:color w:val="000000"/>
          <w:lang w:bidi="ar-AE"/>
        </w:rPr>
        <w:lastRenderedPageBreak/>
        <w:t>centre aims to enhance transparency and expedite dispute resolution in business agreements.</w:t>
      </w:r>
      <w:r>
        <w:rPr>
          <w:rStyle w:val="FootnoteReference"/>
          <w:rFonts w:asciiTheme="majorBidi" w:eastAsia="Calibri" w:hAnsiTheme="majorBidi" w:cstheme="majorBidi"/>
          <w:color w:val="000000"/>
          <w:lang w:bidi="ar-AE"/>
        </w:rPr>
        <w:footnoteReference w:id="279"/>
      </w:r>
      <w:r>
        <w:rPr>
          <w:rFonts w:asciiTheme="majorBidi" w:eastAsia="Calibri" w:hAnsiTheme="majorBidi" w:cstheme="majorBidi"/>
          <w:color w:val="000000"/>
          <w:lang w:bidi="ar-AE"/>
        </w:rPr>
        <w:t>.</w:t>
      </w:r>
    </w:p>
    <w:p w14:paraId="703062C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With its continued efforts to modernize and digitalize arbitration procedures, TAHKEEM remains a key player in the UAE’s commercial </w:t>
      </w:r>
      <w:r>
        <w:rPr>
          <w:rFonts w:asciiTheme="majorBidi" w:eastAsia="Calibri" w:hAnsiTheme="majorBidi" w:cstheme="majorBidi"/>
          <w:color w:val="000000"/>
        </w:rPr>
        <w:t>arbitration</w:t>
      </w:r>
      <w:r>
        <w:rPr>
          <w:rFonts w:asciiTheme="majorBidi" w:eastAsia="Calibri" w:hAnsiTheme="majorBidi" w:cstheme="majorBidi"/>
          <w:color w:val="000000"/>
          <w:lang w:bidi="ar-AE"/>
        </w:rPr>
        <w:t xml:space="preserve"> landscape, ensuring that businesses can resolve disputes efficiently through technologically advanced and legally sound arbitration mechanisms.</w:t>
      </w:r>
      <w:r>
        <w:rPr>
          <w:rStyle w:val="FootnoteReference"/>
          <w:rFonts w:asciiTheme="majorBidi" w:eastAsia="Calibri" w:hAnsiTheme="majorBidi" w:cstheme="majorBidi"/>
          <w:color w:val="000000"/>
          <w:lang w:bidi="ar-AE"/>
        </w:rPr>
        <w:footnoteReference w:id="280"/>
      </w:r>
      <w:r>
        <w:rPr>
          <w:rFonts w:asciiTheme="majorBidi" w:eastAsia="Calibri" w:hAnsiTheme="majorBidi" w:cstheme="majorBidi"/>
          <w:color w:val="000000"/>
          <w:lang w:bidi="ar-AE"/>
        </w:rPr>
        <w:t>.</w:t>
      </w:r>
    </w:p>
    <w:p w14:paraId="0B4B98BD" w14:textId="77777777" w:rsidR="00F073C0" w:rsidRPr="008819FD" w:rsidRDefault="00EC31B2" w:rsidP="009F5ACD">
      <w:pPr>
        <w:pStyle w:val="Heading3"/>
        <w:rPr>
          <w:rFonts w:asciiTheme="majorBidi" w:hAnsiTheme="majorBidi" w:cstheme="majorBidi"/>
          <w:lang w:bidi="ar-AE"/>
        </w:rPr>
      </w:pPr>
      <w:bookmarkStart w:id="145" w:name="_Toc190813301"/>
      <w:bookmarkStart w:id="146" w:name="_Toc209626944"/>
      <w:bookmarkStart w:id="147" w:name="_Toc217491581"/>
      <w:bookmarkStart w:id="148" w:name="_Toc221804530"/>
      <w:r>
        <w:rPr>
          <w:rFonts w:asciiTheme="majorBidi" w:eastAsia="Times New Roman" w:hAnsiTheme="majorBidi" w:cstheme="majorBidi"/>
          <w:lang w:bidi="ar-AE"/>
        </w:rPr>
        <w:t xml:space="preserve">3.2.8 </w:t>
      </w:r>
      <w:r>
        <w:rPr>
          <w:rFonts w:asciiTheme="majorBidi" w:hAnsiTheme="majorBidi" w:cstheme="majorBidi"/>
          <w:lang w:bidi="ar-AE"/>
        </w:rPr>
        <w:t>Ajman Centre for Commercial Conciliation and Arbitration (Ajman Arbitration Centre )</w:t>
      </w:r>
      <w:bookmarkEnd w:id="145"/>
      <w:bookmarkEnd w:id="146"/>
      <w:bookmarkEnd w:id="147"/>
      <w:bookmarkEnd w:id="148"/>
    </w:p>
    <w:p w14:paraId="6E2F2FB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Ajman Centre for Commercial Conciliation and Arbitration plays a crucial role in the alternative dispute resolution (ADR) landscape of the United Arab Emirates, particularly in the emirate of Ajman. Established under the Ajman Chamber of Commerce and Industry, the centre was founded to facilitate the resolution of commercial disputes through efficient and legally binding arbitration procedures. It primarily serves small and medium-sized enterprises (SMEs), along with larger corporations engaged in commercial activities within Ajman and beyond.</w:t>
      </w:r>
    </w:p>
    <w:p w14:paraId="2347AF38" w14:textId="36A6D8FA" w:rsidR="00F073C0" w:rsidRPr="008819FD" w:rsidRDefault="000851F5"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Ajman Arbitration Centre presents itself as committed to ensuring that arbitration is conducted in a manner that is both cost-effective and accessible. As an onshore centre, it applies the UAE’s Federal Arbitration Law (No. 6 of 2018), which draws on a number of UNCITRAL Model Law principles, with the aim of ensuring that arbitration </w:t>
      </w:r>
      <w:r w:rsidR="00F073C0">
        <w:rPr>
          <w:rFonts w:asciiTheme="majorBidi" w:eastAsia="Calibri" w:hAnsiTheme="majorBidi" w:cstheme="majorBidi"/>
          <w:color w:val="000000"/>
        </w:rPr>
        <w:t>awards</w:t>
      </w:r>
      <w:r w:rsidR="00F073C0">
        <w:rPr>
          <w:rFonts w:asciiTheme="majorBidi" w:eastAsia="Calibri" w:hAnsiTheme="majorBidi" w:cstheme="majorBidi"/>
          <w:color w:val="000000"/>
          <w:lang w:bidi="ar-AE"/>
        </w:rPr>
        <w:t xml:space="preserve"> are </w:t>
      </w:r>
      <w:r w:rsidR="00F073C0">
        <w:rPr>
          <w:rFonts w:asciiTheme="majorBidi" w:eastAsia="Calibri" w:hAnsiTheme="majorBidi" w:cstheme="majorBidi"/>
          <w:color w:val="000000"/>
          <w:lang w:bidi="ar-AE"/>
        </w:rPr>
        <w:lastRenderedPageBreak/>
        <w:t>legally enforceable and internationally recognized. This guarantees that parties involved in disputes can rely on the legal certainty of arbitration decisions issued by the centre.</w:t>
      </w:r>
      <w:r w:rsidR="00F073C0">
        <w:rPr>
          <w:rStyle w:val="FootnoteReference"/>
          <w:rFonts w:asciiTheme="majorBidi" w:eastAsia="Calibri" w:hAnsiTheme="majorBidi" w:cstheme="majorBidi"/>
          <w:color w:val="000000"/>
          <w:lang w:bidi="ar-AE"/>
        </w:rPr>
        <w:footnoteReference w:id="281"/>
      </w:r>
    </w:p>
    <w:p w14:paraId="47476318" w14:textId="5330A8C7" w:rsidR="00F073C0" w:rsidRPr="008819FD" w:rsidRDefault="000851F5" w:rsidP="00663759">
      <w:pPr>
        <w:shd w:val="clear" w:color="auto" w:fill="FFFFFF"/>
        <w:spacing w:line="480" w:lineRule="auto"/>
        <w:ind w:firstLine="720"/>
        <w:rPr>
          <w:rFonts w:asciiTheme="majorBidi" w:eastAsia="Calibri" w:hAnsiTheme="majorBidi" w:cstheme="majorBidi"/>
          <w:color w:val="000000"/>
          <w:lang w:bidi="ar-AE"/>
        </w:rPr>
      </w:pPr>
      <w:r w:rsidRPr="000851F5">
        <w:rPr>
          <w:rFonts w:asciiTheme="majorBidi" w:eastAsia="Calibri" w:hAnsiTheme="majorBidi" w:cstheme="majorBidi"/>
          <w:color w:val="000000"/>
          <w:lang w:bidi="ar-AE"/>
        </w:rPr>
        <w:t xml:space="preserve"> </w:t>
      </w:r>
      <w:r>
        <w:rPr>
          <w:rFonts w:asciiTheme="majorBidi" w:eastAsia="Calibri" w:hAnsiTheme="majorBidi" w:cstheme="majorBidi"/>
          <w:color w:val="000000"/>
          <w:lang w:bidi="ar-AE"/>
        </w:rPr>
        <w:t>Publicly available information does not, however, confirm that the Ajman Arbitration Centre operates a fully integrated online arbitration platform of the kind found at the larger UAE centres. The apparent absence of a comprehensive digital case-management system at some of the smaller centres is itself consistent with one of the central findings of this study: that digital capacity across UAE arbitration institutions remains uneven, and that leaving technological development to the initiative of each institution produces inconsistent levels of readiness for online arbitration.</w:t>
      </w:r>
      <w:r w:rsidR="00F073C0">
        <w:rPr>
          <w:rFonts w:asciiTheme="majorBidi" w:eastAsia="Calibri" w:hAnsiTheme="majorBidi" w:cstheme="majorBidi"/>
          <w:color w:val="000000"/>
          <w:lang w:bidi="ar-AE"/>
        </w:rPr>
        <w:t>The digitalization of arbitration at the Ajman Arbitration Centre has been reinforced through the introduction of virtual hearings. Secure, encrypted video conferencing systems are employed to facilitate participation by arbitrators, claimants, and respondents across different jurisdictions and time zones, making the Centre an attractive forum for international disputes. However, in the context of this research, it is essential to consider whether the use of such technologies is explicitly codified within the Centre ’s Arbitration Rules or whether it remains a matter of institutional practice</w:t>
      </w:r>
      <w:r w:rsidR="00F073C0">
        <w:rPr>
          <w:rStyle w:val="FootnoteReference"/>
          <w:rFonts w:asciiTheme="majorBidi" w:eastAsia="Calibri" w:hAnsiTheme="majorBidi" w:cstheme="majorBidi"/>
          <w:color w:val="000000"/>
          <w:lang w:bidi="ar-AE"/>
        </w:rPr>
        <w:footnoteReference w:id="282"/>
      </w:r>
      <w:r w:rsidR="00F073C0">
        <w:rPr>
          <w:rFonts w:asciiTheme="majorBidi" w:eastAsia="Calibri" w:hAnsiTheme="majorBidi" w:cstheme="majorBidi"/>
          <w:color w:val="000000"/>
          <w:lang w:bidi="ar-AE"/>
        </w:rPr>
        <w:t>. A review of the Ajman Arbitration Centre ’s framework reveals that, while the Rules emphasize procedural flexibility and party autonomy, they do not provide detailed provisions governing the conduct of virtual hearings or stipulating minimum standards for cybersecurity, unlike the more comprehensive rules of DIAC (2022) or ADGM (2015, amended 2020).</w:t>
      </w:r>
    </w:p>
    <w:p w14:paraId="18B16B3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The implications of this are twofold. On one hand, Ajman’s reliance on broad procedural discretion allows the Centre to adopt technological innovations quickly and effectively, without requiring amendments to its Rules. This adaptability reflects a forward-looking approach that is responsive to the realities of international commercial arbitration. On the other hand, the lack of express provisions creates uncertainty with respect to data protection, confidentiality, and liability in the event of cybersecurity breaches during online proceedings. As such, the enforceability of awards rendered through virtual hearings may be vulnerable to challenge, especially if parties argue that the proceedings did not meet minimum standards of due process or data security.</w:t>
      </w:r>
      <w:r>
        <w:rPr>
          <w:rStyle w:val="FootnoteReference"/>
          <w:rFonts w:asciiTheme="majorBidi" w:eastAsia="Calibri" w:hAnsiTheme="majorBidi" w:cstheme="majorBidi"/>
          <w:color w:val="000000"/>
          <w:lang w:bidi="ar-AE"/>
        </w:rPr>
        <w:footnoteReference w:id="283"/>
      </w:r>
      <w:r>
        <w:rPr>
          <w:rFonts w:asciiTheme="majorBidi" w:eastAsia="Calibri" w:hAnsiTheme="majorBidi" w:cstheme="majorBidi"/>
          <w:color w:val="000000"/>
          <w:lang w:bidi="ar-AE"/>
        </w:rPr>
        <w:t>.</w:t>
      </w:r>
    </w:p>
    <w:p w14:paraId="696AA1C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If Ajman were to incorporate specific provisions into its Arbitration Rules—similar to DIAC’s Articles 3 and 20—it could strengthen the legitimacy of virtual hearings and provide parties with greater certainty. Such codification would also support the broader argument that institutional rules can serve as sufficient regulatory instruments, thereby reducing the need for separate legislative intervention on data protection in online arbitration. Nevertheless, even if codified, these provisions would only apply to disputes administered under Ajman’s auspices or where parties expressly agree to adopt its Rules, meaning that they would not extend to ad hoc arbitrations or other institutional proceedings in the UAE.</w:t>
      </w:r>
      <w:r>
        <w:rPr>
          <w:rStyle w:val="FootnoteReference"/>
          <w:rFonts w:asciiTheme="majorBidi" w:eastAsia="Calibri" w:hAnsiTheme="majorBidi" w:cstheme="majorBidi"/>
          <w:color w:val="000000"/>
          <w:lang w:bidi="ar-AE"/>
        </w:rPr>
        <w:footnoteReference w:id="284"/>
      </w:r>
      <w:r>
        <w:rPr>
          <w:rFonts w:asciiTheme="majorBidi" w:eastAsia="Calibri" w:hAnsiTheme="majorBidi" w:cstheme="majorBidi"/>
          <w:color w:val="000000"/>
          <w:lang w:bidi="ar-AE"/>
        </w:rPr>
        <w:t>.</w:t>
      </w:r>
    </w:p>
    <w:p w14:paraId="3ACD1AB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This analysis mirrors the situation at other centres in the UAE, where institutional approaches to digitalization vary considerably. While DIAC and ADGM have codified detailed provisions on virtual hearings, ADCCAC, TAHKEEM, IICRA, and Ajman continue </w:t>
      </w:r>
      <w:r>
        <w:rPr>
          <w:rFonts w:asciiTheme="majorBidi" w:eastAsia="Calibri" w:hAnsiTheme="majorBidi" w:cstheme="majorBidi"/>
          <w:color w:val="000000"/>
          <w:lang w:bidi="ar-AE"/>
        </w:rPr>
        <w:lastRenderedPageBreak/>
        <w:t>to rely primarily on general procedural flexibility. This divergence underscores both the strengths and weaknesses of institutional “soft law” solutions: they allow rapid adaptation to technological change, but they also create a fragmented regulatory landscape that may weaken parties’ confidence in the consistency and enforceability of online arbitration proceedings at the national level.</w:t>
      </w:r>
      <w:r>
        <w:rPr>
          <w:rStyle w:val="FootnoteReference"/>
          <w:rFonts w:asciiTheme="majorBidi" w:eastAsia="Calibri" w:hAnsiTheme="majorBidi" w:cstheme="majorBidi"/>
          <w:color w:val="000000"/>
          <w:lang w:bidi="ar-AE"/>
        </w:rPr>
        <w:footnoteReference w:id="285"/>
      </w:r>
    </w:p>
    <w:p w14:paraId="6987E7D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case management system at Ajman </w:t>
      </w:r>
      <w:r>
        <w:rPr>
          <w:rFonts w:asciiTheme="majorBidi" w:eastAsia="Calibri" w:hAnsiTheme="majorBidi" w:cstheme="majorBidi"/>
          <w:color w:val="000000"/>
        </w:rPr>
        <w:t>Arbitration</w:t>
      </w:r>
      <w:r>
        <w:rPr>
          <w:rFonts w:asciiTheme="majorBidi" w:eastAsia="Calibri" w:hAnsiTheme="majorBidi" w:cstheme="majorBidi"/>
          <w:color w:val="000000"/>
          <w:lang w:bidi="ar-AE"/>
        </w:rPr>
        <w:t xml:space="preserve"> Centre is designed to ensure that arbitration remains transparent and efficient. The system enables parties to access case-related documents, procedural updates, and hearing schedules through a user-friendly digital portal. Additionally, the centre has incorporated electronic evidence submission protocols, allowing parties to present contracts, agreements, and financial records in a secure digital format.</w:t>
      </w:r>
      <w:r>
        <w:rPr>
          <w:rStyle w:val="FootnoteReference"/>
          <w:rFonts w:asciiTheme="majorBidi" w:eastAsia="Calibri" w:hAnsiTheme="majorBidi" w:cstheme="majorBidi"/>
          <w:color w:val="000000"/>
          <w:lang w:bidi="ar-AE"/>
        </w:rPr>
        <w:footnoteReference w:id="286"/>
      </w:r>
      <w:r>
        <w:rPr>
          <w:rFonts w:asciiTheme="majorBidi" w:eastAsia="Calibri" w:hAnsiTheme="majorBidi" w:cstheme="majorBidi"/>
          <w:color w:val="000000"/>
          <w:lang w:bidi="ar-AE"/>
        </w:rPr>
        <w:t>.</w:t>
      </w:r>
    </w:p>
    <w:p w14:paraId="1DD6879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terms of language flexibility, Ajman Arbitration Centre provides arbitration services in both Arabic and English, catering to the diverse business community operating within the emirate. This bilingual approach enhances the accessibility of arbitration procedures for foreign investors and multinational corporations, making Ajman a </w:t>
      </w:r>
      <w:r>
        <w:rPr>
          <w:rFonts w:asciiTheme="majorBidi" w:eastAsia="Calibri" w:hAnsiTheme="majorBidi" w:cstheme="majorBidi"/>
          <w:color w:val="000000"/>
        </w:rPr>
        <w:t>competitive</w:t>
      </w:r>
      <w:r>
        <w:rPr>
          <w:rFonts w:asciiTheme="majorBidi" w:eastAsia="Calibri" w:hAnsiTheme="majorBidi" w:cstheme="majorBidi"/>
          <w:color w:val="000000"/>
          <w:lang w:bidi="ar-AE"/>
        </w:rPr>
        <w:t xml:space="preserve"> arbitration hub in the UAE.</w:t>
      </w:r>
    </w:p>
    <w:p w14:paraId="4A1B725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centre also ensures that its arbitration services are conducted confidentially and impartially. Arbitrators appointed to oversee disputes are selected based on their expertise, neutrality, and knowledge of UAE commercial laws. The arbitration procedures are structured </w:t>
      </w:r>
      <w:r>
        <w:rPr>
          <w:rFonts w:asciiTheme="majorBidi" w:eastAsia="Calibri" w:hAnsiTheme="majorBidi" w:cstheme="majorBidi"/>
          <w:color w:val="000000"/>
          <w:lang w:bidi="ar-AE"/>
        </w:rPr>
        <w:lastRenderedPageBreak/>
        <w:t>to ensure that decisions are final, binding, and enforceable, in accordance with both UAE and international legal frameworks</w:t>
      </w:r>
      <w:r>
        <w:rPr>
          <w:rStyle w:val="FootnoteReference"/>
          <w:rFonts w:asciiTheme="majorBidi" w:eastAsia="Calibri" w:hAnsiTheme="majorBidi" w:cstheme="majorBidi"/>
          <w:color w:val="000000"/>
          <w:lang w:bidi="ar-AE"/>
        </w:rPr>
        <w:footnoteReference w:id="287"/>
      </w:r>
      <w:r>
        <w:rPr>
          <w:rFonts w:asciiTheme="majorBidi" w:eastAsia="Calibri" w:hAnsiTheme="majorBidi" w:cstheme="majorBidi"/>
          <w:color w:val="000000"/>
          <w:lang w:bidi="ar-AE"/>
        </w:rPr>
        <w:t>.</w:t>
      </w:r>
    </w:p>
    <w:p w14:paraId="19FE0A9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Additionally, Ajman Arbitration Centre has </w:t>
      </w:r>
      <w:r>
        <w:rPr>
          <w:rFonts w:asciiTheme="majorBidi" w:eastAsia="Calibri" w:hAnsiTheme="majorBidi" w:cstheme="majorBidi"/>
          <w:color w:val="000000"/>
        </w:rPr>
        <w:t>implemented</w:t>
      </w:r>
      <w:r>
        <w:rPr>
          <w:rFonts w:asciiTheme="majorBidi" w:eastAsia="Calibri" w:hAnsiTheme="majorBidi" w:cstheme="majorBidi"/>
          <w:color w:val="000000"/>
          <w:lang w:bidi="ar-AE"/>
        </w:rPr>
        <w:t xml:space="preserve"> AI-driven legal research tools to assist arbitrators, legal professionals, and disputing parties in analyzing past case rulings, legal precedents, and arbitration trends. This technological advancement helps in making informed arbitration decisions, reducing procedural delays, </w:t>
      </w:r>
      <w:r>
        <w:rPr>
          <w:rFonts w:asciiTheme="majorBidi" w:eastAsia="Calibri" w:hAnsiTheme="majorBidi" w:cstheme="majorBidi"/>
          <w:color w:val="000000"/>
        </w:rPr>
        <w:t>and</w:t>
      </w:r>
      <w:r>
        <w:rPr>
          <w:rFonts w:asciiTheme="majorBidi" w:eastAsia="Calibri" w:hAnsiTheme="majorBidi" w:cstheme="majorBidi"/>
          <w:color w:val="000000"/>
          <w:lang w:bidi="ar-AE"/>
        </w:rPr>
        <w:t xml:space="preserve"> enhancing overall case outcomes.</w:t>
      </w:r>
    </w:p>
    <w:p w14:paraId="41E9D372"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financial transaction framework at the centre </w:t>
      </w:r>
      <w:r>
        <w:rPr>
          <w:rFonts w:asciiTheme="majorBidi" w:eastAsia="Calibri" w:hAnsiTheme="majorBidi" w:cstheme="majorBidi"/>
          <w:color w:val="000000"/>
        </w:rPr>
        <w:t>has</w:t>
      </w:r>
      <w:r>
        <w:rPr>
          <w:rFonts w:asciiTheme="majorBidi" w:eastAsia="Calibri" w:hAnsiTheme="majorBidi" w:cstheme="majorBidi"/>
          <w:color w:val="000000"/>
          <w:lang w:bidi="ar-AE"/>
        </w:rPr>
        <w:t xml:space="preserve"> also been optimized through electronic payment systems, enabling parties to securely process arbitration fees and associated costs online. This ensures a seamless financial workflow while enhancing transparency in arbitration-related financial transactions.</w:t>
      </w:r>
      <w:r>
        <w:rPr>
          <w:rStyle w:val="FootnoteReference"/>
          <w:rFonts w:asciiTheme="majorBidi" w:eastAsia="Calibri" w:hAnsiTheme="majorBidi" w:cstheme="majorBidi"/>
          <w:color w:val="000000"/>
          <w:lang w:bidi="ar-AE"/>
        </w:rPr>
        <w:footnoteReference w:id="288"/>
      </w:r>
    </w:p>
    <w:p w14:paraId="42618EE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Looking ahead, the Ajman Arbitration Centre is exploring innovative approaches, such as blockchain-powered smart contracts for </w:t>
      </w:r>
      <w:r>
        <w:rPr>
          <w:rFonts w:asciiTheme="majorBidi" w:eastAsia="Calibri" w:hAnsiTheme="majorBidi" w:cstheme="majorBidi"/>
          <w:color w:val="000000"/>
        </w:rPr>
        <w:t>dispute</w:t>
      </w:r>
      <w:r>
        <w:rPr>
          <w:rFonts w:asciiTheme="majorBidi" w:eastAsia="Calibri" w:hAnsiTheme="majorBidi" w:cstheme="majorBidi"/>
          <w:color w:val="000000"/>
          <w:lang w:bidi="ar-AE"/>
        </w:rPr>
        <w:t xml:space="preserve"> resolution. By integrating self-executing contractual mechanisms, the centre aims to enhance trust, efficiency, and automation in arbitration agreements, especially in disputes involving commercial contracts and digital transactions.</w:t>
      </w:r>
    </w:p>
    <w:p w14:paraId="33B459F6" w14:textId="123C58BB" w:rsidR="00F073C0"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With its strong emphasis on technological advancement, accessibility, and procedural integrity, the Ajman Centre for Commercial Conciliation and Arbitration continues to </w:t>
      </w:r>
      <w:r>
        <w:rPr>
          <w:rFonts w:asciiTheme="majorBidi" w:eastAsia="Calibri" w:hAnsiTheme="majorBidi" w:cstheme="majorBidi"/>
          <w:color w:val="000000"/>
          <w:lang w:bidi="ar-AE"/>
        </w:rPr>
        <w:lastRenderedPageBreak/>
        <w:t>establish itself as a leading arbitration institution in the UAE, providing businesses with a trusted and technologically advanced dispute resolution platform.</w:t>
      </w:r>
    </w:p>
    <w:p w14:paraId="453B94D3" w14:textId="77777777" w:rsidR="000851F5" w:rsidRPr="008819FD" w:rsidRDefault="000851F5" w:rsidP="000851F5">
      <w:pPr>
        <w:pStyle w:val="Heading3"/>
        <w:rPr>
          <w:rFonts w:asciiTheme="majorBidi" w:hAnsiTheme="majorBidi" w:cstheme="majorBidi"/>
          <w:lang w:bidi="ar-AE"/>
        </w:rPr>
      </w:pPr>
      <w:bookmarkStart w:id="149" w:name="_Toc900000019"/>
      <w:r>
        <w:rPr>
          <w:rFonts w:asciiTheme="majorBidi" w:eastAsia="Times New Roman" w:hAnsiTheme="majorBidi" w:cstheme="majorBidi"/>
          <w:lang w:bidi="ar-AE"/>
        </w:rPr>
        <w:t xml:space="preserve">3.2.9 </w:t>
      </w:r>
      <w:r>
        <w:rPr>
          <w:rFonts w:asciiTheme="majorBidi" w:hAnsiTheme="majorBidi" w:cstheme="majorBidi"/>
          <w:lang w:bidi="ar-AE"/>
        </w:rPr>
        <w:t>Ras Al Khaimah Centre for Reconciliation and Commercial Arbitration (RAK Chamber)</w:t>
      </w:r>
      <w:bookmarkEnd w:id="149"/>
    </w:p>
    <w:p w14:paraId="19C94808" w14:textId="77777777" w:rsidR="000851F5" w:rsidRPr="008819FD" w:rsidRDefault="000851F5" w:rsidP="000851F5">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Ras Al Khaimah Centre for Reconciliation and Commercial Arbitration, which operates under the Ras Al Khaimah Chamber of Commerce and Industry and is now also referred to as the Ras Al Khaimah Mediation and Arbitration Centre, was established in 2007 to provide reconciliation and commercial arbitration services within the Emirate of Ras Al Khaimah. Its proceedings are governed by the Articles of Association of the Ras Al Khaimah Centre of Reconciliation and Commercial Arbitration (the Centre’s Regulations), supplemented, where those Regulations are silent, by the UAE Federal Arbitration Law (No. 6 of 2018).</w:t>
      </w:r>
      <w:r>
        <w:rPr>
          <w:rStyle w:val="FootnoteReference"/>
          <w:rFonts w:asciiTheme="majorBidi" w:eastAsia="Calibri" w:hAnsiTheme="majorBidi" w:cstheme="majorBidi"/>
          <w:color w:val="000000"/>
          <w:lang w:bidi="ar-AE"/>
        </w:rPr>
        <w:footnoteReference w:id="289"/>
      </w:r>
    </w:p>
    <w:p w14:paraId="59DD2B87" w14:textId="77777777" w:rsidR="000851F5" w:rsidRPr="008819FD" w:rsidRDefault="000851F5" w:rsidP="000851F5">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Examined through the same analytical lens applied to the other UAE centres, the Centre’s Regulations adopt a relatively traditional procedural model. They expressly contemplate communication with the parties by recognised means, including facsimile and electronic mail, which provides a limited textual basis for electronic correspondence. However, the Regulations do not contain detailed provisions governing the conduct of fully virtual hearings, the electronic submission and management of evidence, or the use of online case-management platforms; such matters are left to the procedural discretion of the tribunal and to the agreement of the parties.</w:t>
      </w:r>
    </w:p>
    <w:p w14:paraId="14DBC4F8" w14:textId="77777777" w:rsidR="000851F5" w:rsidRPr="008819FD" w:rsidRDefault="000851F5" w:rsidP="000851F5">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Nor do the Regulations articulate a comprehensive confidentiality or data-protection regime tailored to digital proceedings, relying instead on the general framework of the Federal Arbitration Law and on the parties’ own agreements. The position of the Centre therefore reinforces a central observation of this study: the degree to which online arbitration, and the cybersecurity and confidentiality safeguards it requires, are expressly regulated remains uneven across UAE arbitral institutions, with the smaller chamber-based centres generally offering less detailed guidance than the larger institutions such as the Dubai International Arbitration Centre.</w:t>
      </w:r>
    </w:p>
    <w:p w14:paraId="3024B77B" w14:textId="77777777" w:rsidR="000851F5" w:rsidRPr="008819FD" w:rsidRDefault="000851F5" w:rsidP="00663759">
      <w:pPr>
        <w:shd w:val="clear" w:color="auto" w:fill="FFFFFF"/>
        <w:spacing w:line="480" w:lineRule="auto"/>
        <w:ind w:firstLine="720"/>
        <w:rPr>
          <w:rFonts w:asciiTheme="majorBidi" w:eastAsia="Calibri" w:hAnsiTheme="majorBidi" w:cstheme="majorBidi"/>
          <w:color w:val="000000"/>
          <w:lang w:bidi="ar-AE"/>
        </w:rPr>
      </w:pPr>
    </w:p>
    <w:p w14:paraId="2F45D554" w14:textId="77777777" w:rsidR="00F073C0" w:rsidRPr="008819FD" w:rsidRDefault="00F073C0" w:rsidP="00663759">
      <w:pPr>
        <w:pStyle w:val="Heading2"/>
        <w:rPr>
          <w:rFonts w:asciiTheme="majorBidi" w:eastAsia="Calibri" w:hAnsiTheme="majorBidi" w:cstheme="majorBidi"/>
          <w:sz w:val="24"/>
          <w:szCs w:val="24"/>
        </w:rPr>
      </w:pPr>
      <w:bookmarkStart w:id="150" w:name="_Toc190813302"/>
      <w:bookmarkStart w:id="151" w:name="_Toc209626945"/>
      <w:bookmarkStart w:id="152" w:name="_Toc217491582"/>
      <w:bookmarkStart w:id="153" w:name="_Toc221804531"/>
      <w:r>
        <w:rPr>
          <w:rFonts w:asciiTheme="majorBidi" w:eastAsia="Calibri" w:hAnsiTheme="majorBidi" w:cstheme="majorBidi"/>
          <w:sz w:val="24"/>
          <w:szCs w:val="24"/>
        </w:rPr>
        <w:t>Key Global Practices in Online Arbitration</w:t>
      </w:r>
      <w:bookmarkEnd w:id="150"/>
      <w:bookmarkEnd w:id="151"/>
      <w:bookmarkEnd w:id="152"/>
      <w:bookmarkEnd w:id="153"/>
    </w:p>
    <w:p w14:paraId="2515C72B"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International arbitration has become the preferred method of resolving cross-border commercial disputes, and several world-renowned arbitration institutions have emerged as leaders in the field of alternative dispute resolution (ADR). These </w:t>
      </w:r>
      <w:r>
        <w:rPr>
          <w:rFonts w:asciiTheme="majorBidi" w:eastAsia="Calibri" w:hAnsiTheme="majorBidi" w:cstheme="majorBidi"/>
          <w:color w:val="000000"/>
        </w:rPr>
        <w:t>centre</w:t>
      </w:r>
      <w:r>
        <w:rPr>
          <w:rFonts w:asciiTheme="majorBidi" w:eastAsia="Calibri" w:hAnsiTheme="majorBidi" w:cstheme="majorBidi"/>
          <w:color w:val="000000"/>
          <w:lang w:bidi="ar-AE"/>
        </w:rPr>
        <w:t>s provide businesses, investors, and governments with neutral, efficient, and enforceable dispute resolution mechanisms, ensuring fairness and consistency in international trade and investment disputes. Given the increasing complexity of global commerce, the role of specialised arbitration institutions has become more critical than ever, particularly in international contract enforcement, investor-state arbitration, and complex commercial disputes.</w:t>
      </w:r>
    </w:p>
    <w:p w14:paraId="4F86735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Beyond the institutional rules of centres, several global initiatives and professional guidelines have sought to establish minimum standards for cybersecurity, privacy, and the conduct of virtual hearings in arbitration. One of the most significant is the ICCA–NYC Bar–CPR Working Group on Cybersecurity in International Arbitration, which issued a </w:t>
      </w:r>
      <w:r>
        <w:rPr>
          <w:rFonts w:asciiTheme="majorBidi" w:eastAsia="Calibri" w:hAnsiTheme="majorBidi" w:cstheme="majorBidi"/>
          <w:color w:val="000000"/>
          <w:lang w:bidi="ar-AE"/>
        </w:rPr>
        <w:lastRenderedPageBreak/>
        <w:t>comprehensive Cybersecurity Protocol (2020, updated 2022). This protocol provides detailed recommendations on protecting electronic communications, securing electronic evidence, and implementing access controls in arbitral proceedings (pp. 60–62). Although non-binding, it has become one of the most widely cited references for tribunals and institutions seeking to address cybersecurity concerns in arbitration</w:t>
      </w:r>
      <w:r>
        <w:rPr>
          <w:rStyle w:val="FootnoteReference"/>
          <w:rFonts w:asciiTheme="majorBidi" w:eastAsia="Calibri" w:hAnsiTheme="majorBidi" w:cstheme="majorBidi"/>
          <w:color w:val="000000"/>
          <w:lang w:bidi="ar-AE"/>
        </w:rPr>
        <w:footnoteReference w:id="290"/>
      </w:r>
      <w:r>
        <w:rPr>
          <w:rFonts w:asciiTheme="majorBidi" w:eastAsia="Calibri" w:hAnsiTheme="majorBidi" w:cstheme="majorBidi"/>
          <w:color w:val="000000"/>
          <w:lang w:bidi="ar-AE"/>
        </w:rPr>
        <w:t>.</w:t>
      </w:r>
    </w:p>
    <w:p w14:paraId="7402DB3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Similarly, the American Arbitration Association–International Centre for Dispute Resolution (AAA–ICDR) has published several resources specifically tailored to online arbitration. These include the Best Practices Guide for Maintaining Cybersecurity and Privacy, which sets out practical measures for safeguarding confidential information, and a Cybersecurity Checklist that assists arbitrators and counsel in assessing vulnerabilities before and during proceedings. In addition, the AAA–ICDR has released a Virtual Hearing Guide for Arbitrators and Parties, offering detailed guidance on the conduct of online hearings, including protocols for evidence presentation, witness examination, and ensuring procedural fairness. These documents are publicly available and have become important benchmarks in international practice</w:t>
      </w:r>
      <w:r>
        <w:rPr>
          <w:rStyle w:val="FootnoteReference"/>
          <w:rFonts w:asciiTheme="majorBidi" w:eastAsia="Calibri" w:hAnsiTheme="majorBidi" w:cstheme="majorBidi"/>
          <w:color w:val="000000"/>
          <w:lang w:bidi="ar-AE"/>
        </w:rPr>
        <w:footnoteReference w:id="291"/>
      </w:r>
      <w:r>
        <w:rPr>
          <w:rFonts w:asciiTheme="majorBidi" w:eastAsia="Calibri" w:hAnsiTheme="majorBidi" w:cstheme="majorBidi"/>
          <w:color w:val="000000"/>
          <w:lang w:bidi="ar-AE"/>
        </w:rPr>
        <w:t>.</w:t>
      </w:r>
    </w:p>
    <w:p w14:paraId="2C9FCEC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American Bar Association (ABA) has also played a leading role in addressing the intersection of cybersecurity, ethics, and legal technology. Its Cybersecurity Legal Task Force and Legal Technology Resource Centre provide continuous updates, tools, and scholarly materials addressing lawyers’ ethical obligations when handling digital information. Particularly noteworthy is ABA Formal Opinion 498 (March 10, 2021), which addresses the </w:t>
      </w:r>
      <w:r>
        <w:rPr>
          <w:rFonts w:asciiTheme="majorBidi" w:eastAsia="Calibri" w:hAnsiTheme="majorBidi" w:cstheme="majorBidi"/>
          <w:color w:val="000000"/>
          <w:lang w:bidi="ar-AE"/>
        </w:rPr>
        <w:lastRenderedPageBreak/>
        <w:t>ethical implications of virtual legal practice, including confidentiality obligations, competence in the use of technology, and the duty to safeguard client information. This opinion has direct relevance for arbitration practitioners who increasingly rely on virtual platforms to conduct hearings and transmit sensitive data.</w:t>
      </w:r>
      <w:r>
        <w:rPr>
          <w:rStyle w:val="FootnoteReference"/>
          <w:rFonts w:asciiTheme="majorBidi" w:eastAsia="Calibri" w:hAnsiTheme="majorBidi" w:cstheme="majorBidi"/>
          <w:color w:val="000000"/>
          <w:lang w:bidi="ar-AE"/>
        </w:rPr>
        <w:footnoteReference w:id="292"/>
      </w:r>
      <w:r>
        <w:rPr>
          <w:rFonts w:asciiTheme="majorBidi" w:eastAsia="Calibri" w:hAnsiTheme="majorBidi" w:cstheme="majorBidi"/>
          <w:color w:val="000000"/>
          <w:lang w:bidi="ar-AE"/>
        </w:rPr>
        <w:t>.</w:t>
      </w:r>
    </w:p>
    <w:p w14:paraId="09CD6CD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Corporate and industry associations have also contributed to global practices. For example, the Association of Corporate Counsel (ACC) has developed a Model Information Protection and Security Controls for Outside Counsel, which provides corporations with a framework to assess and enforce cybersecurity obligations on external lawyers handling confidential business information. While not arbitration-specific, such guidance is often incorporated into arbitration agreements or procedural orders, especially in disputes involving sensitive trade secrets or cross-border commercial transactions</w:t>
      </w:r>
      <w:r>
        <w:rPr>
          <w:rStyle w:val="FootnoteReference"/>
          <w:rFonts w:asciiTheme="majorBidi" w:eastAsia="Calibri" w:hAnsiTheme="majorBidi" w:cstheme="majorBidi"/>
          <w:color w:val="000000"/>
          <w:lang w:bidi="ar-AE"/>
        </w:rPr>
        <w:footnoteReference w:id="293"/>
      </w:r>
      <w:r>
        <w:rPr>
          <w:rFonts w:asciiTheme="majorBidi" w:eastAsia="Calibri" w:hAnsiTheme="majorBidi" w:cstheme="majorBidi"/>
          <w:color w:val="000000"/>
          <w:lang w:bidi="ar-AE"/>
        </w:rPr>
        <w:t>.</w:t>
      </w:r>
    </w:p>
    <w:p w14:paraId="28D40EF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Taken together, these global practices highlight the increasing role of “soft law” instruments in shaping the conduct of online arbitration. Although they do not have binding legal force, they reflect a broad consensus on best practices, and their frequent incorporation into arbitral procedures underscores their growing normative value. For the UAE context, these resources illustrate the possibility of supplementing existing institutional rules (such as DIAC or ADGM) with internationally recognized protocols, thereby reducing the need for immediate legislative reform while aligning UAE practice with global standards. However, the fact that these instruments remain non-binding also raises questions about consistency and </w:t>
      </w:r>
      <w:r>
        <w:rPr>
          <w:rFonts w:asciiTheme="majorBidi" w:eastAsia="Calibri" w:hAnsiTheme="majorBidi" w:cstheme="majorBidi"/>
          <w:color w:val="000000"/>
          <w:lang w:bidi="ar-AE"/>
        </w:rPr>
        <w:lastRenderedPageBreak/>
        <w:t>enforceability, particularly in jurisdictions where legislative frameworks on data protection and online arbitration remain underdeveloped</w:t>
      </w:r>
    </w:p>
    <w:p w14:paraId="6A4F5520" w14:textId="77777777" w:rsidR="00F073C0" w:rsidRPr="008819FD" w:rsidRDefault="00D852C2" w:rsidP="009F5ACD">
      <w:pPr>
        <w:pStyle w:val="Heading3"/>
        <w:rPr>
          <w:rFonts w:asciiTheme="majorBidi" w:hAnsiTheme="majorBidi" w:cstheme="majorBidi"/>
          <w:lang w:bidi="ar-AE"/>
        </w:rPr>
      </w:pPr>
      <w:bookmarkStart w:id="154" w:name="_Toc190813303"/>
      <w:bookmarkStart w:id="155" w:name="_Toc209626946"/>
      <w:bookmarkStart w:id="156" w:name="_Toc217491583"/>
      <w:bookmarkStart w:id="157" w:name="_Toc221804532"/>
      <w:r>
        <w:rPr>
          <w:rFonts w:asciiTheme="majorBidi" w:eastAsia="Times New Roman" w:hAnsiTheme="majorBidi" w:cstheme="majorBidi"/>
          <w:lang w:bidi="ar-AE"/>
        </w:rPr>
        <w:t xml:space="preserve">3.3.1 </w:t>
      </w:r>
      <w:r>
        <w:rPr>
          <w:rFonts w:asciiTheme="majorBidi" w:hAnsiTheme="majorBidi" w:cstheme="majorBidi"/>
          <w:lang w:bidi="ar-AE"/>
        </w:rPr>
        <w:t>International Chamber of Commerce (ICC) – International Court of Arbitration</w:t>
      </w:r>
      <w:bookmarkEnd w:id="154"/>
      <w:bookmarkEnd w:id="155"/>
      <w:bookmarkEnd w:id="156"/>
      <w:bookmarkEnd w:id="157"/>
    </w:p>
    <w:p w14:paraId="0081915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International Chamber of Commerce (ICC) – International Court of Arbitration is one of the most renowned arbitration institutions worldwide, with a long-standing history of handling international commercial disputes. Established in </w:t>
      </w:r>
      <w:r>
        <w:rPr>
          <w:rFonts w:asciiTheme="majorBidi" w:eastAsia="Calibri" w:hAnsiTheme="majorBidi" w:cstheme="majorBidi"/>
          <w:color w:val="000000"/>
        </w:rPr>
        <w:t>1923</w:t>
      </w:r>
      <w:r>
        <w:rPr>
          <w:rFonts w:asciiTheme="majorBidi" w:eastAsia="Calibri" w:hAnsiTheme="majorBidi" w:cstheme="majorBidi"/>
          <w:color w:val="000000"/>
          <w:lang w:bidi="ar-AE"/>
        </w:rPr>
        <w:t xml:space="preserve"> and headquartered in Paris, France, the ICC plays a pivotal role in facilitating dispute resolution between parties from different legal and cultural backgrounds. The institution follows the ICC Arbitration Rules, which provide a comprehensive legal framework to ensure fairness, efficiency, and enforceability of arbitration awards.</w:t>
      </w:r>
      <w:r>
        <w:rPr>
          <w:rStyle w:val="FootnoteReference"/>
          <w:rFonts w:asciiTheme="majorBidi" w:eastAsia="Calibri" w:hAnsiTheme="majorBidi" w:cstheme="majorBidi"/>
          <w:color w:val="000000"/>
          <w:lang w:bidi="ar-AE"/>
        </w:rPr>
        <w:footnoteReference w:id="294"/>
      </w:r>
      <w:r>
        <w:rPr>
          <w:rFonts w:asciiTheme="majorBidi" w:eastAsia="Calibri" w:hAnsiTheme="majorBidi" w:cstheme="majorBidi"/>
          <w:color w:val="000000"/>
          <w:lang w:bidi="ar-AE"/>
        </w:rPr>
        <w:t>.</w:t>
      </w:r>
    </w:p>
    <w:p w14:paraId="05B1222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ICC arbitration process begins with the submission of a request for arbitration, followed by the appointment of arbitrators. The tribunal hears the arguments from both parties, reviews documentary evidence, and eventually issues a binding arbitral award. One of the key features of ICC arbitration is the scrutiny of awards by the ICC Court, a unique mechanism that enhances the quality and enforceability of arbitration rulings. The ICC ensures that awards follow procedural and substantive legal standards before they are issued.</w:t>
      </w:r>
      <w:r>
        <w:rPr>
          <w:rStyle w:val="FootnoteReference"/>
          <w:rFonts w:asciiTheme="majorBidi" w:eastAsia="Calibri" w:hAnsiTheme="majorBidi" w:cstheme="majorBidi"/>
          <w:color w:val="000000"/>
          <w:lang w:bidi="ar-AE"/>
        </w:rPr>
        <w:footnoteReference w:id="295"/>
      </w:r>
      <w:r>
        <w:rPr>
          <w:rFonts w:asciiTheme="majorBidi" w:eastAsia="Calibri" w:hAnsiTheme="majorBidi" w:cstheme="majorBidi"/>
          <w:color w:val="000000"/>
          <w:lang w:bidi="ar-AE"/>
        </w:rPr>
        <w:t>.</w:t>
      </w:r>
    </w:p>
    <w:p w14:paraId="7777F57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ICC has taken a leading role in promoting the use of digital tools to enhance efficiency and fairness in international arbitration. Its 2021 Report, Leveraging Technology for Fair, Effective and Efficient International Arbitration Proceedings, issued by the ICC Commission on Arbitration and ADR, provides comprehensive guidance on integrating digital </w:t>
      </w:r>
      <w:r>
        <w:rPr>
          <w:rFonts w:asciiTheme="majorBidi" w:eastAsia="Calibri" w:hAnsiTheme="majorBidi" w:cstheme="majorBidi"/>
          <w:color w:val="000000"/>
          <w:lang w:bidi="ar-AE"/>
        </w:rPr>
        <w:lastRenderedPageBreak/>
        <w:t>technologies into arbitral proceedings. The Report addresses practical matters such as the conduct of virtual hearings, the secure exchange and storage of electronic documents, the use of digital platforms for case management, and cybersecurity measures to protect sensitive information. Importantly, the Report emphasizes balancing efficiency with due process guarantees, ensuring that parties’ procedural rights are not compromised by technological adoption. Although the Report is a form of “soft law,” it has already influenced institutional practice and procedural orders in ICC-administered arbitrations, reinforcing the ICC’s position as a global leader in setting standards for technology-driven dispute resolution</w:t>
      </w:r>
      <w:r>
        <w:rPr>
          <w:rStyle w:val="FootnoteReference"/>
          <w:rFonts w:asciiTheme="majorBidi" w:eastAsia="Calibri" w:hAnsiTheme="majorBidi" w:cstheme="majorBidi"/>
          <w:color w:val="000000"/>
          <w:lang w:bidi="ar-AE"/>
        </w:rPr>
        <w:footnoteReference w:id="296"/>
      </w:r>
      <w:r>
        <w:rPr>
          <w:rFonts w:asciiTheme="majorBidi" w:eastAsia="Calibri" w:hAnsiTheme="majorBidi" w:cstheme="majorBidi"/>
          <w:color w:val="000000"/>
          <w:lang w:bidi="ar-AE"/>
        </w:rPr>
        <w:t>.</w:t>
      </w:r>
    </w:p>
    <w:p w14:paraId="50104CD2" w14:textId="77777777" w:rsidR="00F073C0" w:rsidRPr="008819FD" w:rsidRDefault="00D852C2" w:rsidP="009F5ACD">
      <w:pPr>
        <w:pStyle w:val="Heading3"/>
        <w:rPr>
          <w:rFonts w:asciiTheme="majorBidi" w:hAnsiTheme="majorBidi" w:cstheme="majorBidi"/>
          <w:lang w:bidi="ar-AE"/>
        </w:rPr>
      </w:pPr>
      <w:bookmarkStart w:id="158" w:name="_Toc190813304"/>
      <w:bookmarkStart w:id="159" w:name="_Toc209626947"/>
      <w:bookmarkStart w:id="160" w:name="_Toc217491584"/>
      <w:bookmarkStart w:id="161" w:name="_Toc221804533"/>
      <w:r>
        <w:rPr>
          <w:rFonts w:asciiTheme="majorBidi" w:eastAsia="Times New Roman" w:hAnsiTheme="majorBidi" w:cstheme="majorBidi"/>
          <w:lang w:bidi="ar-AE"/>
        </w:rPr>
        <w:t xml:space="preserve">3.3.2 </w:t>
      </w:r>
      <w:r>
        <w:rPr>
          <w:rFonts w:asciiTheme="majorBidi" w:hAnsiTheme="majorBidi" w:cstheme="majorBidi"/>
          <w:lang w:bidi="ar-AE"/>
        </w:rPr>
        <w:t>London Court of International Arbitration (LCIA)</w:t>
      </w:r>
      <w:bookmarkEnd w:id="158"/>
      <w:bookmarkEnd w:id="159"/>
      <w:bookmarkEnd w:id="160"/>
      <w:bookmarkEnd w:id="161"/>
    </w:p>
    <w:p w14:paraId="1C60019D"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London Court of International Arbitration (LCIA) is another major institution known for its neutrality, efficiency, and cost-effectiveness in handling international arbitration. Established in 1892 and headquartered in London, UK, </w:t>
      </w:r>
      <w:r>
        <w:rPr>
          <w:rFonts w:asciiTheme="majorBidi" w:eastAsia="Calibri" w:hAnsiTheme="majorBidi" w:cstheme="majorBidi"/>
          <w:color w:val="000000"/>
        </w:rPr>
        <w:t>the</w:t>
      </w:r>
      <w:r>
        <w:rPr>
          <w:rFonts w:asciiTheme="majorBidi" w:eastAsia="Calibri" w:hAnsiTheme="majorBidi" w:cstheme="majorBidi"/>
          <w:color w:val="000000"/>
          <w:lang w:bidi="ar-AE"/>
        </w:rPr>
        <w:t xml:space="preserve"> LCIA provides an independent framework for resolving disputes in accordance with the LCIA Arbitration Rules. These rules emphasize confidentiality, procedural flexibility, and party autonomy, making LCIA arbitration a preferred choice for global corporations.</w:t>
      </w:r>
      <w:r>
        <w:rPr>
          <w:rStyle w:val="FootnoteReference"/>
          <w:rFonts w:asciiTheme="majorBidi" w:eastAsia="Calibri" w:hAnsiTheme="majorBidi" w:cstheme="majorBidi"/>
          <w:color w:val="000000"/>
          <w:lang w:bidi="ar-AE"/>
        </w:rPr>
        <w:footnoteReference w:id="297"/>
      </w:r>
      <w:r>
        <w:rPr>
          <w:rFonts w:asciiTheme="majorBidi" w:eastAsia="Calibri" w:hAnsiTheme="majorBidi" w:cstheme="majorBidi"/>
          <w:color w:val="000000"/>
          <w:lang w:bidi="ar-AE"/>
        </w:rPr>
        <w:t>.</w:t>
      </w:r>
    </w:p>
    <w:p w14:paraId="2A2A980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LCIA follows a streamlined arbitration process, where an arbitral tribunal is appointed to hear the case. The tribunal then issues a legally </w:t>
      </w:r>
      <w:r>
        <w:rPr>
          <w:rFonts w:asciiTheme="majorBidi" w:eastAsia="Calibri" w:hAnsiTheme="majorBidi" w:cstheme="majorBidi"/>
          <w:color w:val="000000"/>
        </w:rPr>
        <w:t>binding</w:t>
      </w:r>
      <w:r>
        <w:rPr>
          <w:rFonts w:asciiTheme="majorBidi" w:eastAsia="Calibri" w:hAnsiTheme="majorBidi" w:cstheme="majorBidi"/>
          <w:color w:val="000000"/>
          <w:lang w:bidi="ar-AE"/>
        </w:rPr>
        <w:t xml:space="preserve"> decision that is recognized and enforceable under the 1958 New York Convention on the Recognition and Enforcement of Foreign Arbitral Awards. The LCIA is widely known for its efficiency, with </w:t>
      </w:r>
      <w:r>
        <w:rPr>
          <w:rFonts w:asciiTheme="majorBidi" w:eastAsia="Calibri" w:hAnsiTheme="majorBidi" w:cstheme="majorBidi"/>
          <w:color w:val="000000"/>
          <w:lang w:bidi="ar-AE"/>
        </w:rPr>
        <w:lastRenderedPageBreak/>
        <w:t>strict time limits on arbitral proceedings and a strong commitment to ensuring that costs remain reasonable for parties involved.</w:t>
      </w:r>
      <w:r>
        <w:rPr>
          <w:rStyle w:val="FootnoteReference"/>
          <w:rFonts w:asciiTheme="majorBidi" w:eastAsia="Calibri" w:hAnsiTheme="majorBidi" w:cstheme="majorBidi"/>
          <w:color w:val="000000"/>
          <w:lang w:bidi="ar-AE"/>
        </w:rPr>
        <w:footnoteReference w:id="298"/>
      </w:r>
      <w:r>
        <w:rPr>
          <w:rFonts w:asciiTheme="majorBidi" w:eastAsia="Calibri" w:hAnsiTheme="majorBidi" w:cstheme="majorBidi"/>
          <w:color w:val="000000"/>
          <w:lang w:bidi="ar-AE"/>
        </w:rPr>
        <w:t>.</w:t>
      </w:r>
    </w:p>
    <w:p w14:paraId="3F176D5B"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rtl/>
          <w:lang w:bidi="ar-AE"/>
        </w:rPr>
        <w:t xml:space="preserve"> </w:t>
      </w:r>
      <w:r>
        <w:rPr>
          <w:rFonts w:asciiTheme="majorBidi" w:eastAsia="Calibri" w:hAnsiTheme="majorBidi" w:cstheme="majorBidi"/>
          <w:color w:val="000000"/>
          <w:lang w:bidi="ar-AE"/>
        </w:rPr>
        <w:t xml:space="preserve">Rather than focusing on landmark expropriation cases falling outside the framework of the LCIA—such as investor–state disputes—the more appropriate dimension for purposes of this research is its evolving approach toward the use of technology in arbitration. Among institutions, it was LCIA that first expressly accommodated electronic processes within its framework to cater to increasing needs about digital communications, virtual hearings, and secure online case management supporting tools. This paper will thus find a firm and accurate basis in institutional development for an analysis of how technology has been shaping modern arbitral practice rather than drawing examples from cases that have no direct bearing on LCIA procedures or online proceedings. The LCIA Arbitration Rules (2020) expressly recognize electronic communication as the default method of service and filing of documents (Article 4), while also permitting virtual hearings and the use of secure online platforms for case management. These provisions were reinforced during and after the COVID-19 pandemic, when LCIA tribunals and users increasingly relied on encrypted video conferencing technologies to conduct hearings remotely. The Rules further emphasize confidentiality and cybersecurity obligations by requiring parties and tribunals to ensure that electronic communications and virtual hearings are conducted with adequate safeguards. Although these measures are institutional “soft law,” they carry binding contractual force once the LCIA </w:t>
      </w:r>
      <w:r>
        <w:rPr>
          <w:rFonts w:asciiTheme="majorBidi" w:eastAsia="Calibri" w:hAnsiTheme="majorBidi" w:cstheme="majorBidi"/>
          <w:color w:val="000000"/>
          <w:lang w:bidi="ar-AE"/>
        </w:rPr>
        <w:lastRenderedPageBreak/>
        <w:t>Rules are adopted, thereby providing an important model for how international arbitration can adapt to digitalization while maintaining the integrity and confidentiality of the proceedings</w:t>
      </w:r>
      <w:r>
        <w:rPr>
          <w:rStyle w:val="FootnoteReference"/>
          <w:rFonts w:asciiTheme="majorBidi" w:eastAsia="Calibri" w:hAnsiTheme="majorBidi" w:cstheme="majorBidi"/>
          <w:color w:val="000000"/>
          <w:lang w:bidi="ar-AE"/>
        </w:rPr>
        <w:footnoteReference w:id="299"/>
      </w:r>
      <w:r>
        <w:rPr>
          <w:rFonts w:asciiTheme="majorBidi" w:eastAsia="Calibri" w:hAnsiTheme="majorBidi" w:cstheme="majorBidi"/>
          <w:color w:val="000000"/>
          <w:lang w:bidi="ar-AE"/>
        </w:rPr>
        <w:t>.</w:t>
      </w:r>
    </w:p>
    <w:p w14:paraId="00CB1EF8" w14:textId="77777777" w:rsidR="00F073C0" w:rsidRPr="008819FD" w:rsidRDefault="00D852C2" w:rsidP="009F5ACD">
      <w:pPr>
        <w:pStyle w:val="Heading3"/>
        <w:rPr>
          <w:rFonts w:asciiTheme="majorBidi" w:hAnsiTheme="majorBidi" w:cstheme="majorBidi"/>
          <w:lang w:bidi="ar-AE"/>
        </w:rPr>
      </w:pPr>
      <w:bookmarkStart w:id="162" w:name="_Toc190813305"/>
      <w:bookmarkStart w:id="163" w:name="_Toc209626948"/>
      <w:bookmarkStart w:id="164" w:name="_Toc217491585"/>
      <w:bookmarkStart w:id="165" w:name="_Toc221804534"/>
      <w:r>
        <w:rPr>
          <w:rFonts w:asciiTheme="majorBidi" w:eastAsia="Times New Roman" w:hAnsiTheme="majorBidi" w:cstheme="majorBidi"/>
          <w:lang w:bidi="ar-AE"/>
        </w:rPr>
        <w:t xml:space="preserve">3.3.3 </w:t>
      </w:r>
      <w:r>
        <w:rPr>
          <w:rFonts w:asciiTheme="majorBidi" w:hAnsiTheme="majorBidi" w:cstheme="majorBidi"/>
          <w:lang w:bidi="ar-AE"/>
        </w:rPr>
        <w:t>Permanent Court of Arbitration (PCA)</w:t>
      </w:r>
      <w:bookmarkEnd w:id="162"/>
      <w:bookmarkEnd w:id="163"/>
      <w:bookmarkEnd w:id="164"/>
      <w:bookmarkEnd w:id="165"/>
    </w:p>
    <w:p w14:paraId="0B6FBA95"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Permanent Court of Arbitration (PCA), established in 1899 and based in The Hague, Netherlands, is a crucial institution that handles disputes between states, private entities, and intergovernmental organisations. Unlike other </w:t>
      </w:r>
      <w:r>
        <w:rPr>
          <w:rFonts w:asciiTheme="majorBidi" w:eastAsia="Calibri" w:hAnsiTheme="majorBidi" w:cstheme="majorBidi"/>
          <w:color w:val="000000"/>
        </w:rPr>
        <w:t>arbitration</w:t>
      </w:r>
      <w:r>
        <w:rPr>
          <w:rFonts w:asciiTheme="majorBidi" w:eastAsia="Calibri" w:hAnsiTheme="majorBidi" w:cstheme="majorBidi"/>
          <w:color w:val="000000"/>
          <w:lang w:bidi="ar-AE"/>
        </w:rPr>
        <w:t xml:space="preserve"> institutions that primarily deal with commercial matters, PCA often adjudicates disputes involving international law, treaty interpretation, and sovereign rights.</w:t>
      </w:r>
      <w:r>
        <w:rPr>
          <w:rStyle w:val="FootnoteReference"/>
          <w:rFonts w:asciiTheme="majorBidi" w:eastAsia="Calibri" w:hAnsiTheme="majorBidi" w:cstheme="majorBidi"/>
          <w:color w:val="000000"/>
          <w:lang w:bidi="ar-AE"/>
        </w:rPr>
        <w:footnoteReference w:id="300"/>
      </w:r>
      <w:r>
        <w:rPr>
          <w:rFonts w:asciiTheme="majorBidi" w:eastAsia="Calibri" w:hAnsiTheme="majorBidi" w:cstheme="majorBidi"/>
          <w:color w:val="000000"/>
          <w:lang w:bidi="ar-AE"/>
        </w:rPr>
        <w:t>.</w:t>
      </w:r>
    </w:p>
    <w:p w14:paraId="5855993B"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PCA arbitration involves highly specialised panels of arbitrators, who interpret treaties and international legal norms. The PCA is known for its neutrality, as it provides a platform for resolving disputes between sovereign states and multinational corporations. The awards issued by PCA tribunals have a significant impact on international law and diplomatic relations</w:t>
      </w:r>
      <w:r>
        <w:rPr>
          <w:rStyle w:val="FootnoteReference"/>
          <w:rFonts w:asciiTheme="majorBidi" w:eastAsia="Calibri" w:hAnsiTheme="majorBidi" w:cstheme="majorBidi"/>
          <w:color w:val="000000"/>
          <w:lang w:bidi="ar-AE"/>
        </w:rPr>
        <w:footnoteReference w:id="301"/>
      </w:r>
      <w:r>
        <w:rPr>
          <w:rFonts w:asciiTheme="majorBidi" w:eastAsia="Calibri" w:hAnsiTheme="majorBidi" w:cstheme="majorBidi"/>
          <w:color w:val="000000"/>
          <w:lang w:bidi="ar-AE"/>
        </w:rPr>
        <w:t>.</w:t>
      </w:r>
    </w:p>
    <w:p w14:paraId="66E44D2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rtl/>
          <w:lang w:bidi="ar-AE"/>
        </w:rPr>
        <w:t xml:space="preserve"> </w:t>
      </w:r>
      <w:r>
        <w:rPr>
          <w:rFonts w:asciiTheme="majorBidi" w:eastAsia="Calibri" w:hAnsiTheme="majorBidi" w:cstheme="majorBidi"/>
          <w:color w:val="000000"/>
          <w:lang w:bidi="ar-AE"/>
        </w:rPr>
        <w:t xml:space="preserve">Rather than focusing on landmark sovereignty or investment disputes like Philippines v. China (2016) or Hulley Enterprises v. Russia (2014)—which primarily engage issues of public international law and expropriation—the relevance of these cases to this present research has much to do with the risks that they lay open concerning unauthorised access, interception, or mischievous use of sensitive documents submitted to arbitral tribunals. They demonstrate how procedural vulnerability can be exploited by third parties to intervene in </w:t>
      </w:r>
      <w:r>
        <w:rPr>
          <w:rFonts w:asciiTheme="majorBidi" w:eastAsia="Calibri" w:hAnsiTheme="majorBidi" w:cstheme="majorBidi"/>
          <w:color w:val="000000"/>
          <w:lang w:bidi="ar-AE"/>
        </w:rPr>
        <w:lastRenderedPageBreak/>
        <w:t>matters related to confidentiality and hence underscore the need for strong digital safeguards, in addition to having cybersecurity protocols and clear legal obligations pertaining to electronic evidence. This forms a connection that serves to further justify an inquiry into how the Permanent Court of Arbitration (PCA) has increasingly adopted the use of digital tools and secure technological practices as part of its procedural framework. The PCA, which administers both state-to-state and investor–state disputes, has progressively integrated electronic tools into its procedural framework. The PCA Arbitration Rules (2012), while technologically neutral, provide the tribunal with broad procedural discretion, which has allowed the centre to incorporate virtual hearings, secure electronic filing systems, and encrypted platforms for document exchange, particularly during the COVID-19 pandemic. The PCA has also issued specific administrative notes and practice directions addressing the conduct of online hearings and emphasizing cybersecurity, confidentiality, and the protection of sensitive state and commercial information. These initiatives reflect the PCA’s recognition that disputes involving states and large corporations often entail highly confidential data, requiring secure digital infrastructure to preserve the legitimacy and enforceability of arbitral awards. Although these provisions function as institutional “soft law,” their incorporation into PCA practice underscores the trend towards digitalization in international arbitration and provides useful comparative lessons for the UAE arbitration framework.</w:t>
      </w:r>
      <w:r>
        <w:rPr>
          <w:rStyle w:val="FootnoteReference"/>
          <w:rFonts w:asciiTheme="majorBidi" w:eastAsia="Calibri" w:hAnsiTheme="majorBidi" w:cstheme="majorBidi"/>
          <w:color w:val="000000"/>
          <w:lang w:bidi="ar-AE"/>
        </w:rPr>
        <w:footnoteReference w:id="302"/>
      </w:r>
      <w:r>
        <w:rPr>
          <w:rFonts w:asciiTheme="majorBidi" w:eastAsia="Calibri" w:hAnsiTheme="majorBidi" w:cstheme="majorBidi"/>
          <w:color w:val="000000"/>
          <w:lang w:bidi="ar-AE"/>
        </w:rPr>
        <w:t>.</w:t>
      </w:r>
    </w:p>
    <w:p w14:paraId="5F6FC14E"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With the advent of digital technology, arbitration institutions have increasingly embraced online arbitration, allowing disputes to be resolved through virtual hearings, electronic document submission, and AI-assisted dispute resolution mechanisms. This </w:t>
      </w:r>
      <w:r>
        <w:rPr>
          <w:rFonts w:asciiTheme="majorBidi" w:eastAsia="Calibri" w:hAnsiTheme="majorBidi" w:cstheme="majorBidi"/>
          <w:color w:val="000000"/>
          <w:lang w:bidi="ar-AE"/>
        </w:rPr>
        <w:lastRenderedPageBreak/>
        <w:t>transformation has been particularly accelerated by the COVID-19 pandemic, which necessitated the use of remote dispute resolution methods.</w:t>
      </w:r>
      <w:r>
        <w:rPr>
          <w:rStyle w:val="FootnoteReference"/>
          <w:rFonts w:asciiTheme="majorBidi" w:eastAsia="Calibri" w:hAnsiTheme="majorBidi" w:cstheme="majorBidi"/>
          <w:color w:val="000000"/>
          <w:lang w:bidi="ar-AE"/>
        </w:rPr>
        <w:footnoteReference w:id="303"/>
      </w:r>
      <w:r>
        <w:rPr>
          <w:rFonts w:asciiTheme="majorBidi" w:eastAsia="Calibri" w:hAnsiTheme="majorBidi" w:cstheme="majorBidi"/>
          <w:color w:val="000000"/>
          <w:lang w:bidi="ar-AE"/>
        </w:rPr>
        <w:t>.</w:t>
      </w:r>
    </w:p>
    <w:p w14:paraId="5D57B0C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Online arbitration follows the same fundamental principles as traditional arbitration—party autonomy, neutrality, confidentiality, and enforceability under the New York Convention—but the entire process is conducted through digital means. Leading arbitral institutions such as the ICC, LCIA, SIAC, and ICDR have integrated provisions into their rules and practice notes that explicitly recognize electronic submissions, virtual hearings, and online case management systems. These developments, however, have brought data protection and cybersecurity to the forefront of arbitral practice. As Karton (2024) observes, confidentiality and data protection are no longer ancillary issues but are now central to maintaining trust in international arbitration, with parties increasingly expecting institutions to guarantee the secure handling of sensitive commercial information.</w:t>
      </w:r>
      <w:r>
        <w:rPr>
          <w:rStyle w:val="FootnoteReference"/>
          <w:rFonts w:asciiTheme="majorBidi" w:eastAsia="Calibri" w:hAnsiTheme="majorBidi" w:cstheme="majorBidi"/>
          <w:color w:val="000000"/>
          <w:lang w:bidi="ar-AE"/>
        </w:rPr>
        <w:footnoteReference w:id="304"/>
      </w:r>
      <w:r>
        <w:rPr>
          <w:rFonts w:asciiTheme="majorBidi" w:eastAsia="Calibri" w:hAnsiTheme="majorBidi" w:cstheme="majorBidi"/>
          <w:color w:val="000000"/>
          <w:lang w:bidi="ar-AE"/>
        </w:rPr>
        <w:t>.</w:t>
      </w:r>
    </w:p>
    <w:p w14:paraId="08252A7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reliance on online platforms raises pressing questions as to whether existing frameworks adequately safeguard the data transmitted during proceedings. As noted by Eernisse (2021), institutions and practitioners have begun to develop a “technology toolbox” that includes encrypted file-sharing platforms, blockchain-based evidence storage, and artificial intelligence-assisted case management. Yet, these technological solutions are effective only when paired with clear policies and institutional protocols. Abdul Rahman (2020) highlights that arbitral institutions have a unique role to play in setting cybersecurity </w:t>
      </w:r>
      <w:r>
        <w:rPr>
          <w:rFonts w:asciiTheme="majorBidi" w:eastAsia="Calibri" w:hAnsiTheme="majorBidi" w:cstheme="majorBidi"/>
          <w:color w:val="000000"/>
          <w:lang w:bidi="ar-AE"/>
        </w:rPr>
        <w:lastRenderedPageBreak/>
        <w:t>standards and implementing practical data protection measures, given that individual tribunals and parties may lack the expertise or resources to ensure consistent compliance</w:t>
      </w:r>
      <w:r>
        <w:rPr>
          <w:rStyle w:val="FootnoteReference"/>
          <w:rFonts w:asciiTheme="majorBidi" w:eastAsia="Calibri" w:hAnsiTheme="majorBidi" w:cstheme="majorBidi"/>
          <w:color w:val="000000"/>
          <w:lang w:bidi="ar-AE"/>
        </w:rPr>
        <w:footnoteReference w:id="305"/>
      </w:r>
      <w:r>
        <w:rPr>
          <w:rFonts w:asciiTheme="majorBidi" w:eastAsia="Calibri" w:hAnsiTheme="majorBidi" w:cstheme="majorBidi"/>
          <w:color w:val="000000"/>
          <w:lang w:bidi="ar-AE"/>
        </w:rPr>
        <w:t>.</w:t>
      </w:r>
    </w:p>
    <w:p w14:paraId="14DAFA3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At the same time, broader regulatory instruments influence the debate. The ICCA/IBA Joint Task Force on Data Protection has developed a “Roadmap” aimed at harmonizing arbitral practice with data protection laws, including the GDPR, which has significant implications for video conferencing and electronic data processing in arbitration. This suggests that online arbitration cannot be divorced from the general evolution of privacy law. As Morel de Westgaver (2017) argues, cybersecurity in arbitration should be seen not only as a necessity to protect confidential information but also as an opportunity for arbitral institutions to innovate and differentiate themselves by offering secure digital environments.</w:t>
      </w:r>
    </w:p>
    <w:p w14:paraId="2FBDC16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Conference discussions further confirm the growing urgency of this issue. As Tandon and Singh (2020) report, arbitral institutions worldwide are now actively competing to provide technologically advanced and secure platforms, as parties increasingly view data protection as a factor in choosing the seat of arbitration or the administering institution. The convergence of institutional “soft law” guidelines, party autonomy, and international privacy standards demonstrates that while online arbitration mirrors traditional arbitration in structure, its reliance on digital technologies makes data protection and cybersecurity indispensable to its legitimacy and future growth.</w:t>
      </w:r>
      <w:r>
        <w:rPr>
          <w:rStyle w:val="FootnoteReference"/>
          <w:rFonts w:asciiTheme="majorBidi" w:eastAsia="Calibri" w:hAnsiTheme="majorBidi" w:cstheme="majorBidi"/>
          <w:color w:val="000000"/>
          <w:lang w:bidi="ar-AE"/>
        </w:rPr>
        <w:footnoteReference w:id="306"/>
      </w:r>
    </w:p>
    <w:p w14:paraId="1DB294AC"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One of the main concerns with online arbitration is confidentiality and data security. Arbitration institutions have taken significant steps to ensure that virtual hearings are protected </w:t>
      </w:r>
      <w:r>
        <w:rPr>
          <w:rFonts w:asciiTheme="majorBidi" w:eastAsia="Calibri" w:hAnsiTheme="majorBidi" w:cstheme="majorBidi"/>
          <w:color w:val="000000"/>
          <w:lang w:bidi="ar-AE"/>
        </w:rPr>
        <w:lastRenderedPageBreak/>
        <w:t>from cyber threats, including the use of encrypted communication channels, secure case management platforms, and AI-driven fraud detection mechanisms.</w:t>
      </w:r>
    </w:p>
    <w:p w14:paraId="66FE39B0"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Another issue is the enforceability of awards issued through online arbitration. Under the 1958 New York Convention, arbitral awards are enforceable across more than 160 jurisdictions, regardless of whether the arbitration was conducted physically or virtually. However, national courts may still require additional proof of compliance with procedural safeguards before enforcing online arbitration awards.</w:t>
      </w:r>
      <w:r>
        <w:rPr>
          <w:rStyle w:val="FootnoteReference"/>
          <w:rFonts w:asciiTheme="majorBidi" w:eastAsia="Calibri" w:hAnsiTheme="majorBidi" w:cstheme="majorBidi"/>
          <w:color w:val="000000"/>
          <w:lang w:bidi="ar-AE"/>
        </w:rPr>
        <w:footnoteReference w:id="307"/>
      </w:r>
    </w:p>
    <w:p w14:paraId="41F7FF6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Commercial arbitration has evolved into an essential dispute resolution mechanism, providing businesses, investors, and sovereign states with a fair and efficient alternative to litigation. Leading arbitration institutions such as the ICC, LCIA, PCA, and SIAC have played a key role in shaping the legal landscape of international dispute resolution. Over the years, arbitration has helped resolve high-profile commercial disputes, investor-state conflicts, and treaty-based disagreements, reinforcing the credibility and enforceability of arbitration awards.</w:t>
      </w:r>
      <w:r>
        <w:rPr>
          <w:rStyle w:val="FootnoteReference"/>
          <w:rFonts w:asciiTheme="majorBidi" w:eastAsia="Calibri" w:hAnsiTheme="majorBidi" w:cstheme="majorBidi"/>
          <w:color w:val="000000"/>
          <w:lang w:bidi="ar-AE"/>
        </w:rPr>
        <w:footnoteReference w:id="308"/>
      </w:r>
      <w:r>
        <w:rPr>
          <w:rFonts w:asciiTheme="majorBidi" w:eastAsia="Calibri" w:hAnsiTheme="majorBidi" w:cstheme="majorBidi"/>
          <w:color w:val="000000"/>
          <w:lang w:bidi="ar-AE"/>
        </w:rPr>
        <w:t>.</w:t>
      </w:r>
    </w:p>
    <w:p w14:paraId="620E3D4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rise of online arbitration has further revolutionized the field, offering parties the ability to resolve disputes remotely while maintaining high levels of confidentiality and procedural integrity. While challenges remain, particularly in terms of cybersecurity and enforceability, ongoing innovations in legal technology and international cooperation continue to strengthen the framework of online arbitration. As businesses and governments increasingly rely on arbitration to resolve disputes, it is expected that arbitration institutions will continue </w:t>
      </w:r>
      <w:r>
        <w:rPr>
          <w:rFonts w:asciiTheme="majorBidi" w:eastAsia="Calibri" w:hAnsiTheme="majorBidi" w:cstheme="majorBidi"/>
          <w:color w:val="000000"/>
          <w:lang w:bidi="ar-AE"/>
        </w:rPr>
        <w:lastRenderedPageBreak/>
        <w:t>to refine their procedures to ensure greater accessibility, efficiency, and legal certainty in the digital age</w:t>
      </w:r>
      <w:r>
        <w:rPr>
          <w:rStyle w:val="FootnoteReference"/>
          <w:rFonts w:asciiTheme="majorBidi" w:eastAsia="Calibri" w:hAnsiTheme="majorBidi" w:cstheme="majorBidi"/>
          <w:color w:val="000000"/>
          <w:lang w:bidi="ar-AE"/>
        </w:rPr>
        <w:footnoteReference w:id="309"/>
      </w:r>
      <w:r>
        <w:rPr>
          <w:rFonts w:asciiTheme="majorBidi" w:eastAsia="Calibri" w:hAnsiTheme="majorBidi" w:cstheme="majorBidi"/>
          <w:color w:val="000000"/>
          <w:lang w:bidi="ar-AE"/>
        </w:rPr>
        <w:t>.</w:t>
      </w:r>
    </w:p>
    <w:p w14:paraId="5750C5D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With the increase in the volume of contracts concluded via the internet , the increase in the volume of disputes, and the fear that sales sites will lose what they earn easily and simply; they have begun to contract with centres to resolve disputes that may arise from remote sales contracts, including the arbitration agreement for all contracts, and with the spread of the idea of ​​remote arbitration, multiple centres have been working to resolve disputes via the internet , which are known as centres. Virtual (ARBITRATION ONLINE), within specific rules drawn up by each centre in determining the course of the arbitration process from an agreement through arbitration until the issuance of the arbitrators' decision. Among these centres are: </w:t>
      </w:r>
    </w:p>
    <w:p w14:paraId="50C2EA80" w14:textId="77777777" w:rsidR="00F073C0" w:rsidRPr="008819FD" w:rsidRDefault="00F073C0" w:rsidP="00663759">
      <w:pPr>
        <w:numPr>
          <w:ilvl w:val="0"/>
          <w:numId w:val="23"/>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The mediation system of the World Intellectual Property Organisation (WIPO), called Mediation, follows the absence of a settlement by arbitration, which is a procedure that includes both mediation and arbitration, and upon approval of it, mediation efforts begin, which are specified for a specific period. If the period ends without settling, either party has the right to refer the dispute to arbitration</w:t>
      </w:r>
      <w:r>
        <w:rPr>
          <w:rStyle w:val="FootnoteReference"/>
          <w:rFonts w:asciiTheme="majorBidi" w:eastAsia="Calibri" w:hAnsiTheme="majorBidi" w:cstheme="majorBidi"/>
          <w:color w:val="000000"/>
          <w:lang w:bidi="ar-AE"/>
        </w:rPr>
        <w:footnoteReference w:id="310"/>
      </w:r>
      <w:r>
        <w:rPr>
          <w:rFonts w:asciiTheme="majorBidi" w:eastAsia="Calibri" w:hAnsiTheme="majorBidi" w:cstheme="majorBidi"/>
          <w:color w:val="000000"/>
          <w:lang w:bidi="ar-AE"/>
        </w:rPr>
        <w:t xml:space="preserve">. </w:t>
      </w:r>
    </w:p>
    <w:p w14:paraId="60AB1414" w14:textId="77777777" w:rsidR="00F073C0" w:rsidRPr="008819FD" w:rsidRDefault="00F073C0" w:rsidP="00663759">
      <w:pPr>
        <w:numPr>
          <w:ilvl w:val="0"/>
          <w:numId w:val="23"/>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Other centres such as Square trade have created a system known as Direct Negotiation (direct negotiations, which take place between the parties to the dispute without any interventions from mediators or arbitrators, with the negotiations being surrounded by complete confidentiality, as they take place through secure channels affiliated with the centre’s website, while giving them complete freedom to </w:t>
      </w:r>
      <w:r>
        <w:rPr>
          <w:rFonts w:asciiTheme="majorBidi" w:eastAsia="Calibri" w:hAnsiTheme="majorBidi" w:cstheme="majorBidi"/>
          <w:color w:val="000000"/>
          <w:lang w:bidi="ar-AE"/>
        </w:rPr>
        <w:lastRenderedPageBreak/>
        <w:t>negotiate to reach a solution that resolves the dispute(Schultz &amp; Ortino, 2020). The motive for creating this method may be to bring the disputants - indirectly - to the stage of mediation and arbitration, as it appears impossible for them to agree through direct negotiations to resolve the dispute</w:t>
      </w:r>
      <w:r>
        <w:rPr>
          <w:rStyle w:val="FootnoteReference"/>
          <w:rFonts w:asciiTheme="majorBidi" w:eastAsia="Calibri" w:hAnsiTheme="majorBidi" w:cstheme="majorBidi"/>
          <w:color w:val="000000"/>
          <w:lang w:bidi="ar-AE"/>
        </w:rPr>
        <w:footnoteReference w:id="311"/>
      </w:r>
      <w:r>
        <w:rPr>
          <w:rFonts w:asciiTheme="majorBidi" w:eastAsia="Calibri" w:hAnsiTheme="majorBidi" w:cstheme="majorBidi"/>
          <w:color w:val="000000"/>
          <w:lang w:bidi="ar-AE"/>
        </w:rPr>
        <w:t>.</w:t>
      </w:r>
    </w:p>
    <w:p w14:paraId="1E2E2C78" w14:textId="77777777" w:rsidR="00F073C0" w:rsidRPr="008819FD" w:rsidRDefault="00F073C0" w:rsidP="00663759">
      <w:pPr>
        <w:numPr>
          <w:ilvl w:val="0"/>
          <w:numId w:val="20"/>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The Gulf Cooperation Council Commercial Arbitration Centre: It was established in 1995 in Manama by a decision of the heads of the GCC states as a specialised regional mechanism that provides fast and effective arbitration services to the commercial, industrial, construction, service and other sectors</w:t>
      </w:r>
      <w:r>
        <w:rPr>
          <w:rStyle w:val="FootnoteReference"/>
          <w:rFonts w:asciiTheme="majorBidi" w:eastAsia="Calibri" w:hAnsiTheme="majorBidi" w:cstheme="majorBidi"/>
          <w:color w:val="000000"/>
          <w:lang w:bidi="ar-AE"/>
        </w:rPr>
        <w:footnoteReference w:id="312"/>
      </w:r>
      <w:r>
        <w:rPr>
          <w:rFonts w:asciiTheme="majorBidi" w:eastAsia="Calibri" w:hAnsiTheme="majorBidi" w:cstheme="majorBidi"/>
          <w:color w:val="000000"/>
          <w:lang w:bidi="ar-AE"/>
        </w:rPr>
        <w:t>. Its board of directors is formed by selecting the chambers of commerce of its six member countries for a period of three working years, provided that its membership is renewed. The centre works to settle disputes through the (iResolution) system on the internet itself, by entering the centre’s page to fill out the form for the existence of a dispute between two parties to receive instructions from it, and pay the prescribed fees. The centre has a schedule of arbitrators who are chosen according to their specialization in the type of dispute. The centre also has consultants who can be consulted for advice in certain cases.</w:t>
      </w:r>
      <w:r>
        <w:rPr>
          <w:rStyle w:val="FootnoteReference"/>
          <w:rFonts w:asciiTheme="majorBidi" w:eastAsia="Calibri" w:hAnsiTheme="majorBidi" w:cstheme="majorBidi"/>
          <w:color w:val="000000"/>
          <w:lang w:bidi="ar-AE"/>
        </w:rPr>
        <w:footnoteReference w:id="313"/>
      </w:r>
      <w:r>
        <w:rPr>
          <w:rFonts w:asciiTheme="majorBidi" w:eastAsia="Calibri" w:hAnsiTheme="majorBidi" w:cstheme="majorBidi"/>
          <w:color w:val="000000"/>
          <w:lang w:bidi="ar-AE"/>
        </w:rPr>
        <w:t xml:space="preserve">. </w:t>
      </w:r>
    </w:p>
    <w:p w14:paraId="6C6CABF7" w14:textId="77777777" w:rsidR="00F073C0" w:rsidRPr="008819FD" w:rsidRDefault="00F073C0" w:rsidP="00663759">
      <w:pPr>
        <w:numPr>
          <w:ilvl w:val="0"/>
          <w:numId w:val="20"/>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Virtual Judge Program is an American idea that was established in March 1996 by professors of the Villa Nova Centre for Law and Information Policy, and this system was supported by the American Arbitrators Association (AAA), the Cyberspace Law Institute, and the National Centre for Informatics Research in the </w:t>
      </w:r>
      <w:r>
        <w:rPr>
          <w:rFonts w:asciiTheme="majorBidi" w:eastAsia="Calibri" w:hAnsiTheme="majorBidi" w:cstheme="majorBidi"/>
          <w:color w:val="000000"/>
          <w:lang w:bidi="ar-AE"/>
        </w:rPr>
        <w:lastRenderedPageBreak/>
        <w:t>United States</w:t>
      </w:r>
      <w:r>
        <w:rPr>
          <w:rStyle w:val="FootnoteReference"/>
          <w:rFonts w:asciiTheme="majorBidi" w:eastAsia="Calibri" w:hAnsiTheme="majorBidi" w:cstheme="majorBidi"/>
          <w:color w:val="000000"/>
          <w:lang w:bidi="ar-AE"/>
        </w:rPr>
        <w:footnoteReference w:id="314"/>
      </w:r>
      <w:r>
        <w:rPr>
          <w:rFonts w:asciiTheme="majorBidi" w:eastAsia="Calibri" w:hAnsiTheme="majorBidi" w:cstheme="majorBidi"/>
          <w:color w:val="000000"/>
          <w:lang w:bidi="ar-AE"/>
        </w:rPr>
        <w:t>. The specialised virtual judge engages in dialogue with the parties to the dispute who requested to be subject to the provisions of this system via e-mail, and the dispute is decided within 72 hours. It is worth noting that the decision issued by the judge is devoid of legal value unless the parties accept it. This centre still provides its services free of charge</w:t>
      </w:r>
      <w:r>
        <w:rPr>
          <w:rStyle w:val="FootnoteReference"/>
          <w:rFonts w:asciiTheme="majorBidi" w:eastAsia="Calibri" w:hAnsiTheme="majorBidi" w:cstheme="majorBidi"/>
          <w:color w:val="000000"/>
          <w:lang w:bidi="ar-AE"/>
        </w:rPr>
        <w:footnoteReference w:id="315"/>
      </w:r>
      <w:r>
        <w:rPr>
          <w:rFonts w:asciiTheme="majorBidi" w:eastAsia="Calibri" w:hAnsiTheme="majorBidi" w:cstheme="majorBidi"/>
          <w:color w:val="000000"/>
          <w:lang w:bidi="ar-AE"/>
        </w:rPr>
        <w:t xml:space="preserve">. </w:t>
      </w:r>
    </w:p>
    <w:p w14:paraId="200E21A9" w14:textId="77777777" w:rsidR="00F073C0" w:rsidRPr="008819FD" w:rsidRDefault="00F073C0" w:rsidP="00663759">
      <w:pPr>
        <w:numPr>
          <w:ilvl w:val="0"/>
          <w:numId w:val="20"/>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Space Court: This court was established at the Faculty of Law at the University of Montreal in Canada in September 1996. According to the system of this court, all procedures are conducted electronically on the court’s website, starting with the settlement request, through the procedures, and ending with the issuance of the judgment and its registration on the court’s website. The court’s system applies to both electronic arbitration and electronic mediation in the sectors of electronic business and electronic commerce. To instill confidence in its system, the court issued certificates of authentication for websites that deal with e-commerce and that meet the required conditions of the court, as an expression of the commitment of these websites or those responsible for them to settle their disputes with users in accordance with the system and procedures of this court. This court is distinguished by providing dispute settlement services in English and French, due to its presence in a province with a mixed linguistic nature of these two languages</w:t>
      </w:r>
      <w:r>
        <w:rPr>
          <w:rStyle w:val="FootnoteReference"/>
          <w:rFonts w:asciiTheme="majorBidi" w:eastAsia="Calibri" w:hAnsiTheme="majorBidi" w:cstheme="majorBidi"/>
          <w:color w:val="000000"/>
          <w:lang w:bidi="ar-AE"/>
        </w:rPr>
        <w:footnoteReference w:id="316"/>
      </w:r>
      <w:r>
        <w:rPr>
          <w:rFonts w:asciiTheme="majorBidi" w:eastAsia="Calibri" w:hAnsiTheme="majorBidi" w:cstheme="majorBidi"/>
          <w:color w:val="000000"/>
          <w:lang w:bidi="ar-AE"/>
        </w:rPr>
        <w:t xml:space="preserve"> It also combines the Latin and Anglo-Saxon systems, which leads to the unification of legal rules between systems </w:t>
      </w:r>
      <w:r>
        <w:rPr>
          <w:rFonts w:asciiTheme="majorBidi" w:eastAsia="Calibri" w:hAnsiTheme="majorBidi" w:cstheme="majorBidi"/>
          <w:color w:val="000000"/>
          <w:lang w:bidi="ar-AE"/>
        </w:rPr>
        <w:lastRenderedPageBreak/>
        <w:t>with different legal cultures regarding e-commerce and means of resolving disputes related to it.</w:t>
      </w:r>
      <w:r>
        <w:rPr>
          <w:rStyle w:val="FootnoteReference"/>
          <w:rFonts w:asciiTheme="majorBidi" w:eastAsia="Calibri" w:hAnsiTheme="majorBidi" w:cstheme="majorBidi"/>
          <w:color w:val="000000"/>
          <w:lang w:bidi="ar-AE"/>
        </w:rPr>
        <w:footnoteReference w:id="317"/>
      </w:r>
      <w:r>
        <w:rPr>
          <w:rFonts w:asciiTheme="majorBidi" w:eastAsia="Calibri" w:hAnsiTheme="majorBidi" w:cstheme="majorBidi"/>
          <w:color w:val="000000"/>
          <w:lang w:bidi="ar-AE"/>
        </w:rPr>
        <w:t>.</w:t>
      </w:r>
    </w:p>
    <w:p w14:paraId="592E1ED8" w14:textId="77777777" w:rsidR="00F073C0" w:rsidRPr="008819FD" w:rsidRDefault="00F073C0" w:rsidP="00663759">
      <w:pPr>
        <w:numPr>
          <w:ilvl w:val="0"/>
          <w:numId w:val="20"/>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t>The Arab Union for Electronic Centre was established in Cairo on September 1, 2007. The idea of ​​establishing the Arab Union for Electronic Arbitration as a non-governmental Arab scientific professional organisation with a regional character seeks to educate Arab societies about the rules governing dealings with e-commerce systems</w:t>
      </w:r>
      <w:r>
        <w:rPr>
          <w:rStyle w:val="FootnoteReference"/>
          <w:rFonts w:asciiTheme="majorBidi" w:eastAsia="Calibri" w:hAnsiTheme="majorBidi" w:cstheme="majorBidi"/>
          <w:color w:val="000000"/>
          <w:lang w:bidi="ar-AE"/>
        </w:rPr>
        <w:footnoteReference w:id="318"/>
      </w:r>
      <w:r>
        <w:rPr>
          <w:rFonts w:asciiTheme="majorBidi" w:eastAsia="Calibri" w:hAnsiTheme="majorBidi" w:cstheme="majorBidi"/>
          <w:color w:val="000000"/>
          <w:lang w:bidi="ar-AE"/>
        </w:rPr>
        <w:t>. It is a newly developed mechanism that aims to shorten time and effort and save expenses to increase this exchange and instill the confidence of the Arab merchant and dealer in these transactions by raising awareness of the application of digital contract systems and protecting electronic disputes arising from these contracts by activating the work of the electronic arbitration system. The idea of ​​establishing this union focuses mainly on the role of civil society in joint Arab economic development that aims to achieve Arab economic integration through electronic inter-trade, by spreading the idea of ​​working with electronic commerce and digital payment systems, and establishing the common Arab market, and achieving comprehensive development for the Arab world. Among the most important activities that the union strives to do are contributing to providing digital arbitration consulting services, preparing Arab training centres within the framework of electronic arbitration, and others. The website of the Arab Union Centre for Electronic Arbitration on the network</w:t>
      </w:r>
      <w:r>
        <w:rPr>
          <w:rStyle w:val="FootnoteReference"/>
          <w:rFonts w:asciiTheme="majorBidi" w:eastAsia="Calibri" w:hAnsiTheme="majorBidi" w:cstheme="majorBidi"/>
          <w:color w:val="000000"/>
          <w:lang w:bidi="ar-AE"/>
        </w:rPr>
        <w:footnoteReference w:id="319"/>
      </w:r>
      <w:r>
        <w:rPr>
          <w:rFonts w:asciiTheme="majorBidi" w:eastAsia="Calibri" w:hAnsiTheme="majorBidi" w:cstheme="majorBidi"/>
          <w:color w:val="000000"/>
          <w:lang w:bidi="ar-AE"/>
        </w:rPr>
        <w:t>.</w:t>
      </w:r>
    </w:p>
    <w:p w14:paraId="59622520" w14:textId="77777777" w:rsidR="00243130" w:rsidRPr="008819FD" w:rsidRDefault="00F073C0" w:rsidP="00D852C2">
      <w:pPr>
        <w:numPr>
          <w:ilvl w:val="0"/>
          <w:numId w:val="20"/>
        </w:numPr>
        <w:shd w:val="clear" w:color="auto" w:fill="FFFFFF"/>
        <w:spacing w:before="0" w:after="160" w:line="480" w:lineRule="auto"/>
        <w:ind w:firstLine="720"/>
        <w:contextualSpacing/>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Makkah International Centre for Conciliation and Arbitration. The centre was opened on May 7, 2009. It is the first centre of its kind in the Kingdom of Saudi Arabia. It includes law professors, specialised judges, and experts from universities, government, and private sectors to avoid all obstacles facing the rapid resolution of commercial and civil problems through peaceful means, away from litigation, and to select the parties to the dispute from the list of arbitrators at the centre to issue a binding ruling to end the dispute</w:t>
      </w:r>
      <w:r>
        <w:rPr>
          <w:rStyle w:val="FootnoteReference"/>
          <w:rFonts w:asciiTheme="majorBidi" w:eastAsia="Calibri" w:hAnsiTheme="majorBidi" w:cstheme="majorBidi"/>
          <w:color w:val="000000"/>
          <w:lang w:bidi="ar-AE"/>
        </w:rPr>
        <w:footnoteReference w:id="320"/>
      </w:r>
      <w:r>
        <w:rPr>
          <w:rFonts w:asciiTheme="majorBidi" w:eastAsia="Calibri" w:hAnsiTheme="majorBidi" w:cstheme="majorBidi"/>
          <w:color w:val="000000"/>
          <w:lang w:bidi="ar-AE"/>
        </w:rPr>
        <w:t>. The centre is accredited by the Ministry of Justice, and it has prepared a basic system for it, as it was keen to keep pace with the latest legal procedures, including the UNCITRAL provisions adopted by the United Nations in the field of arbitration and conciliation, which stipulate the guiding rules for arbitration procedures. Recently, these centres have become so numerous that they cannot be limited. The following are examples of these centres. Communication between the centre and the party to the dispute is done via email, fax, telex, video conference, chat, or telephone over the internet and wired and wireless networks, with the confidentiality of communications and their ability to be copied</w:t>
      </w:r>
      <w:r>
        <w:rPr>
          <w:rStyle w:val="FootnoteReference"/>
          <w:rFonts w:asciiTheme="majorBidi" w:eastAsia="Calibri" w:hAnsiTheme="majorBidi" w:cstheme="majorBidi"/>
          <w:color w:val="000000"/>
          <w:lang w:bidi="ar-AE"/>
        </w:rPr>
        <w:footnoteReference w:id="321"/>
      </w:r>
      <w:r>
        <w:rPr>
          <w:rFonts w:asciiTheme="majorBidi" w:eastAsia="Calibri" w:hAnsiTheme="majorBidi" w:cstheme="majorBidi"/>
          <w:color w:val="000000"/>
          <w:lang w:bidi="ar-AE"/>
        </w:rPr>
        <w:t xml:space="preserve">. Messages can be sent anonymously, as they are encrypted to ensure the greatest degree of confidentiality for arbitration information. Electronic arbitration is no different from traditional arbitration, except through how arbitration procedures are conducted in the internet world through the centres or others. There is no paper, traditional writing, or physical presence of people in this arbitration, but rather a digital presence. For matters not to be confused for those familiar with this research, we must return the facts to </w:t>
      </w:r>
      <w:r>
        <w:rPr>
          <w:rFonts w:asciiTheme="majorBidi" w:eastAsia="Calibri" w:hAnsiTheme="majorBidi" w:cstheme="majorBidi"/>
          <w:color w:val="000000"/>
          <w:lang w:bidi="ar-AE"/>
        </w:rPr>
        <w:lastRenderedPageBreak/>
        <w:t>their primary sources, so we get to know traditional arbitration closely, and then prove on that legal throne the effects of the information revolution on it, which transformed it into electronic arbitration</w:t>
      </w:r>
      <w:r>
        <w:rPr>
          <w:rStyle w:val="FootnoteReference"/>
          <w:rFonts w:asciiTheme="majorBidi" w:eastAsia="Calibri" w:hAnsiTheme="majorBidi" w:cstheme="majorBidi"/>
          <w:color w:val="000000"/>
          <w:lang w:bidi="ar-AE"/>
        </w:rPr>
        <w:footnoteReference w:id="322"/>
      </w:r>
      <w:r>
        <w:rPr>
          <w:rFonts w:asciiTheme="majorBidi" w:eastAsia="Calibri" w:hAnsiTheme="majorBidi" w:cstheme="majorBidi"/>
          <w:color w:val="000000"/>
          <w:lang w:bidi="ar-AE"/>
        </w:rPr>
        <w:t xml:space="preserve">. </w:t>
      </w:r>
    </w:p>
    <w:p w14:paraId="2537229B" w14:textId="77777777" w:rsidR="00F073C0" w:rsidRPr="008819FD" w:rsidRDefault="00FD07D2" w:rsidP="005A4670">
      <w:pPr>
        <w:pStyle w:val="Heading1"/>
        <w:rPr>
          <w:rFonts w:asciiTheme="majorBidi" w:hAnsiTheme="majorBidi" w:cstheme="majorBidi"/>
        </w:rPr>
      </w:pPr>
      <w:bookmarkStart w:id="166" w:name="_Toc221804535"/>
      <w:r>
        <w:rPr>
          <w:rFonts w:asciiTheme="majorBidi" w:hAnsiTheme="majorBidi" w:cstheme="majorBidi"/>
        </w:rPr>
        <w:t>: Mechanisms for Protecting Privacy and Confidentiality in Online Arbitration</w:t>
      </w:r>
      <w:bookmarkEnd w:id="166"/>
    </w:p>
    <w:p w14:paraId="4F374FF3" w14:textId="77777777" w:rsidR="00F073C0" w:rsidRPr="008819FD" w:rsidRDefault="00F073C0" w:rsidP="00663759">
      <w:pPr>
        <w:pStyle w:val="Heading2"/>
        <w:rPr>
          <w:rFonts w:asciiTheme="majorBidi" w:hAnsiTheme="majorBidi" w:cstheme="majorBidi"/>
          <w:sz w:val="24"/>
          <w:szCs w:val="24"/>
          <w:lang w:bidi="ar-AE"/>
        </w:rPr>
      </w:pPr>
      <w:bookmarkStart w:id="167" w:name="_Toc209626950"/>
      <w:bookmarkStart w:id="168" w:name="_Toc217491587"/>
      <w:bookmarkStart w:id="169" w:name="_Toc221804536"/>
      <w:r>
        <w:rPr>
          <w:rFonts w:asciiTheme="majorBidi" w:hAnsiTheme="majorBidi" w:cstheme="majorBidi"/>
          <w:sz w:val="24"/>
          <w:szCs w:val="24"/>
          <w:lang w:bidi="ar-AE"/>
        </w:rPr>
        <w:t>Introduction</w:t>
      </w:r>
      <w:bookmarkEnd w:id="167"/>
      <w:bookmarkEnd w:id="168"/>
      <w:bookmarkEnd w:id="169"/>
      <w:r>
        <w:rPr>
          <w:rFonts w:asciiTheme="majorBidi" w:hAnsiTheme="majorBidi" w:cstheme="majorBidi"/>
          <w:sz w:val="24"/>
          <w:szCs w:val="24"/>
          <w:lang w:bidi="ar-AE"/>
        </w:rPr>
        <w:t xml:space="preserve"> </w:t>
      </w:r>
    </w:p>
    <w:p w14:paraId="18030D99" w14:textId="77777777" w:rsidR="00F073C0" w:rsidRPr="008819FD" w:rsidRDefault="00F073C0" w:rsidP="00663759">
      <w:pPr>
        <w:shd w:val="clear" w:color="auto" w:fill="FFFFFF"/>
        <w:spacing w:line="480" w:lineRule="auto"/>
        <w:ind w:firstLine="720"/>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The rapid digitalization of international arbitration has created new opportunities for efficiency, accessibility, and cost-effectiveness, but it has simultaneously introduced complex challenges relating to privacy and confidentiality. Traditionally, arbitration has been celebrated for its discreet character, offering parties a forum shielded from public scrutiny and unwanted disclosure of sensitive commercial or legal information. However, with the transition from physical hearings and paper-based submissions to online hearings and digital case management, the potential risks associated with data leaks, cyberattacks, and unauthorised access to confidential material have grown exponentially. In the context of online arbitration, confidentiality is no longer secured merely by institutional rules or the ethical obligations of arbitrators and counsel; it is also directly dependent on the adequacy of technological safeguards and compliance with data protection laws at both domestic and international levels.</w:t>
      </w:r>
      <w:r>
        <w:rPr>
          <w:rStyle w:val="FootnoteReference"/>
          <w:rFonts w:asciiTheme="majorBidi" w:eastAsia="Times New Roman" w:hAnsiTheme="majorBidi" w:cstheme="majorBidi"/>
          <w:color w:val="000000"/>
          <w:lang w:bidi="ar-AE"/>
        </w:rPr>
        <w:footnoteReference w:id="323"/>
      </w:r>
      <w:r>
        <w:rPr>
          <w:rFonts w:asciiTheme="majorBidi" w:eastAsia="Times New Roman" w:hAnsiTheme="majorBidi" w:cstheme="majorBidi"/>
          <w:color w:val="000000"/>
          <w:lang w:bidi="ar-AE"/>
        </w:rPr>
        <w:t>.</w:t>
      </w:r>
    </w:p>
    <w:p w14:paraId="482D64C6" w14:textId="77777777" w:rsidR="00F073C0" w:rsidRPr="008819FD" w:rsidRDefault="00F073C0" w:rsidP="00663759">
      <w:pPr>
        <w:shd w:val="clear" w:color="auto" w:fill="FFFFFF"/>
        <w:spacing w:line="480" w:lineRule="auto"/>
        <w:ind w:firstLine="720"/>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 xml:space="preserve">This chapter examines the mechanisms that exist to protect privacy and confidentiality in online arbitration, with a particular focus on technological, ethical, and legislative </w:t>
      </w:r>
      <w:r>
        <w:rPr>
          <w:rFonts w:asciiTheme="majorBidi" w:eastAsia="Times New Roman" w:hAnsiTheme="majorBidi" w:cstheme="majorBidi"/>
          <w:color w:val="000000"/>
          <w:lang w:bidi="ar-AE"/>
        </w:rPr>
        <w:lastRenderedPageBreak/>
        <w:t>dimensions. Unlike previous chapters, which primarily analysed the institutional rules of centres in the UAE and abroad, the discussion here will broaden to cover the role of digital technologies in mitigating risks, the ethical obligations of practitioners in managing confidential information, and the interaction between arbitral practice and data protection laws such as the European Union’s General Data Protection Regulation (GDPR) and the UAE’s Federal Decree-Law No. 45 of 2021 on the Protection of Personal Data. The objective is not only to map the available protections but also to critically assess their effectiveness in practice.</w:t>
      </w:r>
      <w:r>
        <w:rPr>
          <w:rStyle w:val="FootnoteReference"/>
          <w:rFonts w:asciiTheme="majorBidi" w:eastAsia="Times New Roman" w:hAnsiTheme="majorBidi" w:cstheme="majorBidi"/>
          <w:color w:val="000000"/>
          <w:lang w:bidi="ar-AE"/>
        </w:rPr>
        <w:footnoteReference w:id="324"/>
      </w:r>
      <w:r>
        <w:rPr>
          <w:rFonts w:asciiTheme="majorBidi" w:eastAsia="Times New Roman" w:hAnsiTheme="majorBidi" w:cstheme="majorBidi"/>
          <w:color w:val="000000"/>
          <w:lang w:bidi="ar-AE"/>
        </w:rPr>
        <w:t>.</w:t>
      </w:r>
    </w:p>
    <w:p w14:paraId="107FD0A1" w14:textId="77777777" w:rsidR="00F073C0" w:rsidRPr="008819FD" w:rsidRDefault="00F073C0" w:rsidP="00663759">
      <w:pPr>
        <w:shd w:val="clear" w:color="auto" w:fill="FFFFFF"/>
        <w:spacing w:line="480" w:lineRule="auto"/>
        <w:ind w:firstLine="720"/>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The analysis begins with technological tools—such as encryption, blockchain, and cybersecurity audits—that enable arbitral institutions and parties to secure their communications and digital evidence. It then explores ethical considerations, including the duties of arbitrators, counsel, and institutions to balance fairness, due process, and technological competence. The chapter proceeds to examine the broader data protection frameworks, highlighting how GDPR and international guidelines influence arbitration practice, before turning to the UAE’s legal and institutional environment. By combining these perspectives, this chapter aims to demonstrate that protecting confidentiality in online arbitration requires an integrated approach, one that blends technological innovation, ethical responsibility, and legal regulation.</w:t>
      </w:r>
    </w:p>
    <w:p w14:paraId="12737C05" w14:textId="77777777" w:rsidR="00F073C0" w:rsidRPr="008819FD" w:rsidRDefault="00F073C0" w:rsidP="00663759">
      <w:pPr>
        <w:pStyle w:val="Heading2"/>
        <w:rPr>
          <w:rFonts w:asciiTheme="majorBidi" w:hAnsiTheme="majorBidi" w:cstheme="majorBidi"/>
          <w:sz w:val="24"/>
          <w:szCs w:val="24"/>
          <w:lang w:bidi="ar-AE"/>
        </w:rPr>
      </w:pPr>
      <w:bookmarkStart w:id="170" w:name="_Toc209626951"/>
      <w:bookmarkStart w:id="171" w:name="_Toc217491588"/>
      <w:bookmarkStart w:id="172" w:name="_Toc221804537"/>
      <w:r>
        <w:rPr>
          <w:rFonts w:asciiTheme="majorBidi" w:hAnsiTheme="majorBidi" w:cstheme="majorBidi"/>
          <w:sz w:val="24"/>
          <w:szCs w:val="24"/>
          <w:lang w:bidi="ar-AE"/>
        </w:rPr>
        <w:lastRenderedPageBreak/>
        <w:t>Technological Mechanisms for Safeguarding Data</w:t>
      </w:r>
      <w:bookmarkEnd w:id="170"/>
      <w:bookmarkEnd w:id="171"/>
      <w:bookmarkEnd w:id="172"/>
    </w:p>
    <w:p w14:paraId="736982E3" w14:textId="77777777" w:rsidR="00F073C0" w:rsidRPr="008819FD" w:rsidRDefault="00D852C2" w:rsidP="009F5ACD">
      <w:pPr>
        <w:pStyle w:val="Heading3"/>
        <w:rPr>
          <w:rFonts w:asciiTheme="majorBidi" w:hAnsiTheme="majorBidi" w:cstheme="majorBidi"/>
          <w:lang w:bidi="ar-AE"/>
        </w:rPr>
      </w:pPr>
      <w:bookmarkStart w:id="173" w:name="_Toc209626952"/>
      <w:bookmarkStart w:id="174" w:name="_Toc217491589"/>
      <w:bookmarkStart w:id="175" w:name="_Toc221804538"/>
      <w:r>
        <w:rPr>
          <w:rFonts w:asciiTheme="majorBidi" w:eastAsia="Times New Roman" w:hAnsiTheme="majorBidi" w:cstheme="majorBidi"/>
          <w:lang w:bidi="ar-AE"/>
        </w:rPr>
        <w:t xml:space="preserve">4.2.1 </w:t>
      </w:r>
      <w:r>
        <w:rPr>
          <w:rFonts w:asciiTheme="majorBidi" w:hAnsiTheme="majorBidi" w:cstheme="majorBidi"/>
          <w:lang w:bidi="ar-AE"/>
        </w:rPr>
        <w:t>Encryption and Secure Communication Tools</w:t>
      </w:r>
      <w:bookmarkEnd w:id="173"/>
      <w:bookmarkEnd w:id="174"/>
      <w:bookmarkEnd w:id="175"/>
    </w:p>
    <w:p w14:paraId="31CF2BB6"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Encryption has emerged as one of the most fundamental safeguards for protecting privacy and confidentiality in online arbitration. At its core, encryption is a technological process that converts data into a coded format that can only be accessed or deciphered by authorized users possessing the appropriate decryption keys. In the context of arbitration, encryption is particularly critical because sensitive documents—ranging from contracts, pleadings, witness statements, and expert reports to awards—are transmitted electronically between parties, arbitrators, and institutions. Without robust encryption mechanisms, these documents may be vulnerable to interception, unauthorised modification, or leaks that could compromise the fairness and legitimacy of proceedings. For instance, the ICCA–NYC Bar–CPR Working Group on Cybersecurity (2022) highlights encryption as a “minimum standard” in any online arbitration protocol, underlining that unencrypted email exchanges are inherently insecure and fall short of the expectations of modern data protection norms.</w:t>
      </w:r>
      <w:r>
        <w:rPr>
          <w:rStyle w:val="FootnoteReference"/>
          <w:rFonts w:asciiTheme="majorBidi" w:eastAsia="Times New Roman" w:hAnsiTheme="majorBidi" w:cstheme="majorBidi"/>
          <w:color w:val="000000"/>
          <w:lang w:bidi="ar-AE"/>
        </w:rPr>
        <w:footnoteReference w:id="325"/>
      </w:r>
      <w:r>
        <w:rPr>
          <w:rFonts w:asciiTheme="majorBidi" w:eastAsia="Calibri" w:hAnsiTheme="majorBidi" w:cstheme="majorBidi"/>
          <w:color w:val="000000"/>
          <w:lang w:bidi="ar-AE"/>
        </w:rPr>
        <w:t>.</w:t>
      </w:r>
    </w:p>
    <w:p w14:paraId="73CCB8A9"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End-to-end encryption (E2EE) has become the gold standard for communications in online arbitration. Unlike traditional encryption methods, which may secure data only during transmission but leave it accessible to service providers, end-to-end encryption ensures that only the intended sender and recipient can access the contents of a message. Popular secure platforms such as Signal or encrypted versions of Zoom (with advanced settings enabled) exemplify the potential of E2EE in safeguarding arbitral communications. When applied to virtual hearings, end-to-end encryption prevents external actors—even service providers </w:t>
      </w:r>
      <w:r>
        <w:rPr>
          <w:rFonts w:asciiTheme="majorBidi" w:eastAsia="Calibri" w:hAnsiTheme="majorBidi" w:cstheme="majorBidi"/>
          <w:color w:val="000000"/>
          <w:lang w:bidi="ar-AE"/>
        </w:rPr>
        <w:lastRenderedPageBreak/>
        <w:t>themselves—from accessing real-time exchanges, witness testimonies, or sensitive arguments. This level of security is particularly important when dealing with high-value disputes, investor–state arbitrations, or cases involving trade secrets where breaches of confidentiality could have devastating financial and reputational consequences</w:t>
      </w:r>
      <w:r>
        <w:rPr>
          <w:rStyle w:val="FootnoteReference"/>
          <w:rFonts w:asciiTheme="majorBidi" w:eastAsia="Times New Roman" w:hAnsiTheme="majorBidi" w:cstheme="majorBidi"/>
          <w:color w:val="000000"/>
          <w:lang w:bidi="ar-AE"/>
        </w:rPr>
        <w:footnoteReference w:id="326"/>
      </w:r>
      <w:r>
        <w:rPr>
          <w:rFonts w:asciiTheme="majorBidi" w:eastAsia="Calibri" w:hAnsiTheme="majorBidi" w:cstheme="majorBidi"/>
          <w:color w:val="000000"/>
          <w:lang w:bidi="ar-AE"/>
        </w:rPr>
        <w:t>.</w:t>
      </w:r>
    </w:p>
    <w:p w14:paraId="0FD5198B"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use of encryption is not, however, without challenges. First, the technological complexity and cost of implementing sophisticated encryption tools can be significant, especially for smaller arbitral institutions or parties with limited resources. Second, the legal status of encrypted communications may vary across jurisdictions. For example, while the GDPR in Europe strongly encourages encryption as part of its “data protection by design” framework, certain states maintain legislation that permits government agencies to demand access to encrypted communications under national security or law enforcement exceptions. This raises questions about whether arbitral confidentiality can be guaranteed when proceedings involve parties from multiple legal systems with diverging approaches to encryption and surveillance.</w:t>
      </w:r>
    </w:p>
    <w:p w14:paraId="7D419D91"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Another challenge arises from the reliance on third-party service providers to deliver encryption solutions. Even when arbitral institutions deploy secure platforms, the responsibility for managing encryption keys and ensuring compliance often lies with external technology companies. This reliance creates new risks of vendor-related vulnerabilities, conflicts of interest, or liability in the event of a breach. For instance, if a virtual hearing platform suffers a cyberattack due to a flaw in its encryption architecture, the question of accountability—whether it lies with the provider, the arbitral institution, or the tribunal—</w:t>
      </w:r>
      <w:r>
        <w:rPr>
          <w:rFonts w:asciiTheme="majorBidi" w:eastAsia="Calibri" w:hAnsiTheme="majorBidi" w:cstheme="majorBidi"/>
          <w:color w:val="000000"/>
          <w:lang w:bidi="ar-AE"/>
        </w:rPr>
        <w:lastRenderedPageBreak/>
        <w:t>remains legally unsettled. These challenges illustrate that encryption, while indispensable, cannot be treated as a complete solution; it must be complemented by institutional protocols, party awareness, and legal safeguards</w:t>
      </w:r>
      <w:r>
        <w:rPr>
          <w:rStyle w:val="FootnoteReference"/>
          <w:rFonts w:asciiTheme="majorBidi" w:eastAsia="Times New Roman" w:hAnsiTheme="majorBidi" w:cstheme="majorBidi"/>
          <w:color w:val="000000"/>
          <w:lang w:bidi="ar-AE"/>
        </w:rPr>
        <w:footnoteReference w:id="327"/>
      </w:r>
      <w:r>
        <w:rPr>
          <w:rFonts w:asciiTheme="majorBidi" w:eastAsia="Calibri" w:hAnsiTheme="majorBidi" w:cstheme="majorBidi"/>
          <w:color w:val="000000"/>
          <w:lang w:bidi="ar-AE"/>
        </w:rPr>
        <w:t>.</w:t>
      </w:r>
    </w:p>
    <w:p w14:paraId="5946CD1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Despite these challenges, encryption remains one of the most effective and widely adopted tools for ensuring confidentiality in online arbitration. Institutions such as the London Court of International Arbitration (LCIA) and the International Centre for Dispute Resolution (ICDR) have recommended encryption as a default practice in their cybersecurity guidelines, while the ICC’s 2021 Report on Leveraging Technology emphasizes the importance of encryption for maintaining both fairness and efficiency. In the UAE context, institutions such as DIAC and ADGM have also begun to incorporate secure digital platforms with encryption features, reflecting a growing recognition that confidentiality in arbitration can no longer rest on procedural rules alone but must be technologically enforced. Ultimately, encryption serves as the backbone of modern online arbitration, but its effectiveness depends on consistent application, cross-border legal recognition, and the development of robust institutional standards.</w:t>
      </w:r>
    </w:p>
    <w:p w14:paraId="0C36F0A8" w14:textId="77777777" w:rsidR="00F073C0" w:rsidRPr="008819FD" w:rsidRDefault="00D852C2" w:rsidP="009F5ACD">
      <w:pPr>
        <w:pStyle w:val="Heading3"/>
        <w:rPr>
          <w:rFonts w:asciiTheme="majorBidi" w:hAnsiTheme="majorBidi" w:cstheme="majorBidi"/>
          <w:lang w:bidi="ar-AE"/>
        </w:rPr>
      </w:pPr>
      <w:bookmarkStart w:id="176" w:name="_Toc209626953"/>
      <w:bookmarkStart w:id="177" w:name="_Toc217491590"/>
      <w:bookmarkStart w:id="178" w:name="_Toc221804539"/>
      <w:r>
        <w:rPr>
          <w:rFonts w:asciiTheme="majorBidi" w:eastAsia="Times New Roman" w:hAnsiTheme="majorBidi" w:cstheme="majorBidi"/>
          <w:lang w:bidi="ar-AE"/>
        </w:rPr>
        <w:t xml:space="preserve">4.2.2 </w:t>
      </w:r>
      <w:r>
        <w:rPr>
          <w:rFonts w:asciiTheme="majorBidi" w:hAnsiTheme="majorBidi" w:cstheme="majorBidi"/>
          <w:lang w:bidi="ar-AE"/>
        </w:rPr>
        <w:t>Authentication and Identity Verification</w:t>
      </w:r>
      <w:bookmarkEnd w:id="176"/>
      <w:bookmarkEnd w:id="177"/>
      <w:bookmarkEnd w:id="178"/>
    </w:p>
    <w:p w14:paraId="32BB15D4"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Authentication and identity verification constitute a cornerstone of ensuring privacy and confidentiality in online arbitration. In traditional arbitral proceedings, the physical presence of parties, counsel, and witnesses allowed tribunals to verify identities relatively easily. However, in the digital environment, where participants may join hearings remotely from different jurisdictions, the risk of impersonation, unauthorised attendance, or </w:t>
      </w:r>
      <w:r>
        <w:rPr>
          <w:rFonts w:asciiTheme="majorBidi" w:eastAsia="Calibri" w:hAnsiTheme="majorBidi" w:cstheme="majorBidi"/>
          <w:color w:val="000000"/>
          <w:lang w:bidi="ar-AE"/>
        </w:rPr>
        <w:lastRenderedPageBreak/>
        <w:t>manipulation of evidence is considerably higher. Authentication technologies, including two-factor authentication (2FA), biometric recognition, and digital signatures, serve as essential mechanisms for addressing these risks. Two-factor authentication, for instance, requires users to provide not only a password but also a second form of verification, such as a code sent to a mobile device. This method dramatically reduces the likelihood of unauthorised access to virtual hearing platforms or case management systems, as even stolen credentials are insufficient without the second verification factor</w:t>
      </w:r>
      <w:r>
        <w:rPr>
          <w:rStyle w:val="FootnoteReference"/>
          <w:rFonts w:asciiTheme="majorBidi" w:eastAsia="Times New Roman" w:hAnsiTheme="majorBidi" w:cstheme="majorBidi"/>
          <w:color w:val="000000"/>
          <w:lang w:bidi="ar-AE"/>
        </w:rPr>
        <w:footnoteReference w:id="328"/>
      </w:r>
      <w:r>
        <w:rPr>
          <w:rFonts w:asciiTheme="majorBidi" w:eastAsia="Calibri" w:hAnsiTheme="majorBidi" w:cstheme="majorBidi"/>
          <w:color w:val="000000"/>
          <w:lang w:bidi="ar-AE"/>
        </w:rPr>
        <w:t>.</w:t>
      </w:r>
    </w:p>
    <w:p w14:paraId="4E4133B7"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use of digital signatures provides another layer of assurance in online arbitration. Unlike handwritten signatures, digital signatures are created using cryptographic techniques that link a signer’s identity to the content of the document. This ensures that documents such as pleadings, witness statements, or awards cannot be altered without detection, thereby preserving their authenticity. In the context of cross-border arbitration, digital signatures also help meet evidentiary standards in multiple jurisdictions, as many states—including the UAE under Federal Law No. 1 of 2006 on Electronic Commerce and Transactions—recognize their legal validity. As such, digital signatures do not merely serve a technological function; they also carry legal weight, bridging the gap between procedural confidentiality and enforceability of awards in national courts. This dual function highlights the crucial role of authentication mechanisms in both protecting sensitive information and ensuring procedural legitimacy.</w:t>
      </w:r>
      <w:r>
        <w:rPr>
          <w:rStyle w:val="FootnoteReference"/>
          <w:rFonts w:asciiTheme="majorBidi" w:eastAsia="Times New Roman" w:hAnsiTheme="majorBidi" w:cstheme="majorBidi"/>
          <w:color w:val="000000"/>
          <w:lang w:bidi="ar-AE"/>
        </w:rPr>
        <w:footnoteReference w:id="329"/>
      </w:r>
      <w:r>
        <w:rPr>
          <w:rFonts w:asciiTheme="majorBidi" w:eastAsia="Calibri" w:hAnsiTheme="majorBidi" w:cstheme="majorBidi"/>
          <w:color w:val="000000"/>
          <w:lang w:bidi="ar-AE"/>
        </w:rPr>
        <w:t>.</w:t>
      </w:r>
    </w:p>
    <w:p w14:paraId="3669DB2F"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Biometric technologies further expand the possibilities for secure identity verification in virtual arbitration hearings. Facial recognition software, fingerprint scanning, or voice </w:t>
      </w:r>
      <w:r>
        <w:rPr>
          <w:rFonts w:asciiTheme="majorBidi" w:eastAsia="Calibri" w:hAnsiTheme="majorBidi" w:cstheme="majorBidi"/>
          <w:color w:val="000000"/>
          <w:lang w:bidi="ar-AE"/>
        </w:rPr>
        <w:lastRenderedPageBreak/>
        <w:t>recognition tools can be integrated into virtual hearing platforms to verify that the individuals appearing before the tribunal are indeed the authorized parties or witnesses. This is particularly important in witness testimony, where impersonation or coaching by unauthorised third parties could undermine the integrity of proceedings. However, the use of biometrics raises additional privacy concerns, as the collection and storage of biometric data may itself expose sensitive personal information to potential misuse. The GDPR, for example, classifies biometric data as “special category” data subject to heightened protection requirements, meaning that arbitral institutions adopting such technologies must ensure compliance with strict data minimization and consent principles. Thus, while biometrics can enhance trust in virtual hearings, their deployment must balance the benefits of secure verification with the risks of over-collection or data misuse</w:t>
      </w:r>
      <w:r>
        <w:rPr>
          <w:rStyle w:val="FootnoteReference"/>
          <w:rFonts w:asciiTheme="majorBidi" w:eastAsia="Times New Roman" w:hAnsiTheme="majorBidi" w:cstheme="majorBidi"/>
          <w:color w:val="000000"/>
          <w:lang w:bidi="ar-AE"/>
        </w:rPr>
        <w:footnoteReference w:id="330"/>
      </w:r>
      <w:r>
        <w:rPr>
          <w:rFonts w:asciiTheme="majorBidi" w:eastAsia="Calibri" w:hAnsiTheme="majorBidi" w:cstheme="majorBidi"/>
          <w:color w:val="000000"/>
          <w:lang w:bidi="ar-AE"/>
        </w:rPr>
        <w:t>.</w:t>
      </w:r>
    </w:p>
    <w:p w14:paraId="160A5C8A"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reliance on authentication mechanisms also raises questions of accessibility and fairness. Parties from technologically advanced jurisdictions may find it easy to comply with requirements such as 2FA or digital signature authentication, whereas parties from less technologically developed regions may face barriers in accessing or using these tools. This disparity could create an imbalance in the arbitration process, undermining the principle of equality of arms. Arbitral institutions and tribunals must therefore exercise discretion in designing authentication protocols, ensuring that they are not so burdensome as to exclude parties with limited digital literacy or resources. Some institutions, such as the ICDR, have sought to address this by providing detailed guidelines on authentication that allow flexibility </w:t>
      </w:r>
      <w:r>
        <w:rPr>
          <w:rFonts w:asciiTheme="majorBidi" w:eastAsia="Calibri" w:hAnsiTheme="majorBidi" w:cstheme="majorBidi"/>
          <w:color w:val="000000"/>
          <w:lang w:bidi="ar-AE"/>
        </w:rPr>
        <w:lastRenderedPageBreak/>
        <w:t>while still maintaining minimum standards of security. This demonstrates the importance of balancing robust cybersecurity with procedural inclusivity in online arbitration.</w:t>
      </w:r>
    </w:p>
    <w:p w14:paraId="268CD208" w14:textId="77777777" w:rsidR="00F073C0" w:rsidRPr="008819FD" w:rsidRDefault="00F073C0" w:rsidP="00663759">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In practice, authentication and identity verification mechanisms are most effective when embedded within institutional rules and supported by legislative frameworks. For example, the ICC’s 2021 Report on Leveraging Technology emphasizes that robust identity verification is essential to preserve due process in online proceedings, while the ABA Formal Opinion 498 (2021) highlights lawyers’ ethical obligations to ensure that only authorized individuals access confidential digital proceedings. In the UAE, arbitral institutions such as ADGM and DIAC have begun integrating identity verification measures into their virtual hearing practices, although these measures remain more procedural than legislative. Ultimately, the effectiveness of authentication in online arbitration depends not only on technological sophistication but also on institutional consistency and legal recognition across jurisdictions. As the digitalization of arbitration continues, the establishment of harmonised global standards for authentication may become a necessary step to ensure both the confidentiality of proceedings and the enforceability of arbitral awards</w:t>
      </w:r>
      <w:r>
        <w:rPr>
          <w:rStyle w:val="FootnoteReference"/>
          <w:rFonts w:asciiTheme="majorBidi" w:eastAsia="Times New Roman" w:hAnsiTheme="majorBidi" w:cstheme="majorBidi"/>
          <w:color w:val="000000"/>
          <w:lang w:bidi="ar-AE"/>
        </w:rPr>
        <w:footnoteReference w:id="331"/>
      </w:r>
      <w:r>
        <w:rPr>
          <w:rFonts w:asciiTheme="majorBidi" w:eastAsia="Calibri" w:hAnsiTheme="majorBidi" w:cstheme="majorBidi"/>
          <w:color w:val="000000"/>
          <w:lang w:bidi="ar-AE"/>
        </w:rPr>
        <w:t>.</w:t>
      </w:r>
    </w:p>
    <w:p w14:paraId="036243B8" w14:textId="77777777" w:rsidR="00F073C0" w:rsidRPr="008819FD" w:rsidRDefault="00D852C2" w:rsidP="009F5ACD">
      <w:pPr>
        <w:pStyle w:val="Heading3"/>
        <w:rPr>
          <w:rFonts w:asciiTheme="majorBidi" w:hAnsiTheme="majorBidi" w:cstheme="majorBidi"/>
          <w:lang w:bidi="ar-AE"/>
        </w:rPr>
      </w:pPr>
      <w:bookmarkStart w:id="179" w:name="_Toc209626954"/>
      <w:bookmarkStart w:id="180" w:name="_Toc217491591"/>
      <w:bookmarkStart w:id="181" w:name="_Toc221804540"/>
      <w:r>
        <w:rPr>
          <w:rFonts w:asciiTheme="majorBidi" w:eastAsia="Times New Roman" w:hAnsiTheme="majorBidi" w:cstheme="majorBidi"/>
          <w:lang w:bidi="ar-AE"/>
        </w:rPr>
        <w:t xml:space="preserve">4.2.3 </w:t>
      </w:r>
      <w:r>
        <w:rPr>
          <w:rFonts w:asciiTheme="majorBidi" w:hAnsiTheme="majorBidi" w:cstheme="majorBidi"/>
          <w:lang w:bidi="ar-AE"/>
        </w:rPr>
        <w:t>Blockchain and Evidence Management</w:t>
      </w:r>
      <w:bookmarkEnd w:id="179"/>
      <w:bookmarkEnd w:id="180"/>
      <w:bookmarkEnd w:id="181"/>
    </w:p>
    <w:p w14:paraId="6BCC8FE8"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Blockchain technology has emerged as a transformative tool in the context of online arbitration, particularly with respect to evidence management and the preservation of confidentiality. At its core, blockchain is a decentralized digital ledger that records transactions across multiple computers in such a way that the recorded entries cannot be altered retroactively. This immutability makes blockchain an ideal mechanism for ensuring the </w:t>
      </w:r>
      <w:r>
        <w:rPr>
          <w:rFonts w:asciiTheme="majorBidi" w:eastAsia="Calibri" w:hAnsiTheme="majorBidi" w:cstheme="majorBidi"/>
          <w:color w:val="000000"/>
          <w:lang w:bidi="ar-AE"/>
        </w:rPr>
        <w:lastRenderedPageBreak/>
        <w:t>authenticity of documents and evidence submitted in arbitration. In traditional arbitral practice, concerns often arise about whether digital documents have been tampered with during transmission or storage. By contrast, blockchain allows each document or piece of evidence to be stored as a timestamped entry in a secure ledger, which can be independently verified by all parties. This ensures that any attempt to alter or manipulate a document would be immediately detectable, thereby protecting the integrity of evidence and bolstering confidence in the arbitral process</w:t>
      </w:r>
      <w:r>
        <w:rPr>
          <w:rStyle w:val="FootnoteReference"/>
          <w:rFonts w:asciiTheme="majorBidi" w:eastAsia="Times New Roman" w:hAnsiTheme="majorBidi" w:cstheme="majorBidi"/>
          <w:color w:val="000000"/>
          <w:lang w:bidi="ar-AE"/>
        </w:rPr>
        <w:footnoteReference w:id="332"/>
      </w:r>
      <w:r>
        <w:rPr>
          <w:rFonts w:asciiTheme="majorBidi" w:eastAsia="Calibri" w:hAnsiTheme="majorBidi" w:cstheme="majorBidi"/>
          <w:color w:val="000000"/>
          <w:lang w:bidi="ar-AE"/>
        </w:rPr>
        <w:t>.</w:t>
      </w:r>
    </w:p>
    <w:p w14:paraId="21B99B9D"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One of the most significant applications of blockchain in arbitration is the secure storage and transmission of arbitral awards. In cross-border disputes, the enforceability of an award often depends on the ability to demonstrate its authenticity to national courts under the New York Convention. Blockchain-secured awards provide an indisputable record of issuance, as the award is cryptographically sealed and registered in a decentralized ledger accessible to authorized parties. This reduces the risk of fraudulent or altered copies being submitted to enforcement courts. Furthermore, blockchain-based platforms can ensure that only authorized individuals—such as the tribunal, the parties, and relevant institutions—can access the original version of the award. The use of blockchain in this way aligns with the growing global emphasis on cybersecurity in arbitration, as recognized by the ICCA–NYC Bar–CPR Cybersecurity Protocol (2020), which explicitly identifies secure storage of electronic records as a key institutional responsibility.</w:t>
      </w:r>
    </w:p>
    <w:p w14:paraId="689391E7"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Blockchain also facilitates the management of complex evidentiary issues, particularly in multi-party or cross-border disputes involving large volumes of digital documents. For </w:t>
      </w:r>
      <w:r>
        <w:rPr>
          <w:rFonts w:asciiTheme="majorBidi" w:eastAsia="Calibri" w:hAnsiTheme="majorBidi" w:cstheme="majorBidi"/>
          <w:color w:val="000000"/>
          <w:lang w:bidi="ar-AE"/>
        </w:rPr>
        <w:lastRenderedPageBreak/>
        <w:t>instance, in disputes concerning international supply chains, parties may submit thousands of contracts, invoices, or technical records. Blockchain platforms can record and organize these documents in a transparent yet secure manner, allowing tribunals to track the provenance of each piece of evidence. This traceability is particularly valuable in cases involving allegations of fraud, where parties may dispute the authenticity or origin of documents. By embedding documents in a blockchain ledger, the arbitral tribunal can establish a reliable chain of custody, which not only enhances evidentiary reliability but also reduces procedural delays associated with challenges to authenticity. In this sense, blockchain is not merely a technological convenience but a substantive tool that enhances procedural efficiency and fairness</w:t>
      </w:r>
      <w:r>
        <w:rPr>
          <w:rStyle w:val="FootnoteReference"/>
          <w:rFonts w:asciiTheme="majorBidi" w:eastAsia="Times New Roman" w:hAnsiTheme="majorBidi" w:cstheme="majorBidi"/>
          <w:color w:val="000000"/>
          <w:lang w:bidi="ar-AE"/>
        </w:rPr>
        <w:footnoteReference w:id="333"/>
      </w:r>
      <w:r>
        <w:rPr>
          <w:rFonts w:asciiTheme="majorBidi" w:eastAsia="Calibri" w:hAnsiTheme="majorBidi" w:cstheme="majorBidi"/>
          <w:color w:val="000000"/>
          <w:lang w:bidi="ar-AE"/>
        </w:rPr>
        <w:t>.</w:t>
      </w:r>
    </w:p>
    <w:p w14:paraId="005129C8"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Despite its advantages, blockchain use in arbitration raises several challenges that must be addressed. First, the integration of blockchain systems requires substantial technological infrastructure and expertise, which may be beyond the capacity of smaller arbitral institutions or less technologically advanced jurisdictions. Second, there are unresolved legal questions about the admissibility of blockchain-secured evidence in national courts, particularly in jurisdictions that lack comprehensive laws on digital records. For example, while some legal systems explicitly recognize electronic records stored on blockchain as legally valid, others remain silent, leaving uncertainty about whether blockchain entries would be accepted as proof of authenticity. Third, blockchain’s decentralized nature poses jurisdictional complexities: determining the applicable law or the location of data stored across multiple servers can complicate compliance with data protection regimes such as the GDPR, which </w:t>
      </w:r>
      <w:r>
        <w:rPr>
          <w:rFonts w:asciiTheme="majorBidi" w:eastAsia="Calibri" w:hAnsiTheme="majorBidi" w:cstheme="majorBidi"/>
          <w:color w:val="000000"/>
          <w:lang w:bidi="ar-AE"/>
        </w:rPr>
        <w:lastRenderedPageBreak/>
        <w:t>imposes strict rules on cross-border data transfers. These challenges suggest that while blockchain has great potential, its practical implementation requires careful alignment with both institutional rules and national legislation.</w:t>
      </w:r>
      <w:r>
        <w:rPr>
          <w:rStyle w:val="FootnoteReference"/>
          <w:rFonts w:asciiTheme="majorBidi" w:eastAsia="Times New Roman" w:hAnsiTheme="majorBidi" w:cstheme="majorBidi"/>
          <w:color w:val="000000"/>
          <w:lang w:bidi="ar-AE"/>
        </w:rPr>
        <w:footnoteReference w:id="334"/>
      </w:r>
      <w:r>
        <w:rPr>
          <w:rFonts w:asciiTheme="majorBidi" w:eastAsia="Calibri" w:hAnsiTheme="majorBidi" w:cstheme="majorBidi"/>
          <w:color w:val="000000"/>
          <w:lang w:bidi="ar-AE"/>
        </w:rPr>
        <w:t>.</w:t>
      </w:r>
    </w:p>
    <w:p w14:paraId="44BC8F7C"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potential of blockchain in arbitration has not gone unnoticed by arbitral institutions. The Singapore International Arbitration Centre (SIAC) and the Hong Kong International Arbitration Centre  (HKIAC), for example, have explored blockchain-based platforms for case management and evidence submission. In the UAE, while institutions such as DIAC and ADGM have not yet fully integrated blockchain into their procedural frameworks, the country’s broader legal environment—particularly its national blockchain strategy launched in 2018—signals readiness to adopt blockchain solutions in various sectors, including dispute resolution. If arbitral institutions in the UAE were to incorporate blockchain into their practices, they could position themselves as global leaders in secure digital arbitration. Ultimately, blockchain represents both a necessity and an opportunity: a necessity because of the increasing risks to data confidentiality in online arbitration, and an opportunity because institutions that successfully integrate blockchain can enhance their reputation for technological innovation and reliability in the global arbitration community</w:t>
      </w:r>
      <w:r>
        <w:rPr>
          <w:rStyle w:val="FootnoteReference"/>
          <w:rFonts w:asciiTheme="majorBidi" w:eastAsia="Times New Roman" w:hAnsiTheme="majorBidi" w:cstheme="majorBidi"/>
          <w:color w:val="000000"/>
          <w:lang w:bidi="ar-AE"/>
        </w:rPr>
        <w:footnoteReference w:id="335"/>
      </w:r>
      <w:r>
        <w:rPr>
          <w:rFonts w:asciiTheme="majorBidi" w:eastAsia="Calibri" w:hAnsiTheme="majorBidi" w:cstheme="majorBidi"/>
          <w:color w:val="000000"/>
          <w:lang w:bidi="ar-AE"/>
        </w:rPr>
        <w:t>.</w:t>
      </w:r>
    </w:p>
    <w:p w14:paraId="10D959E0" w14:textId="77777777" w:rsidR="00F073C0" w:rsidRPr="008819FD" w:rsidRDefault="00F073C0" w:rsidP="00311168">
      <w:pPr>
        <w:keepNext/>
        <w:keepLines/>
        <w:spacing w:before="40" w:after="0" w:line="480" w:lineRule="auto"/>
        <w:ind w:firstLine="720"/>
        <w:outlineLvl w:val="2"/>
        <w:rPr>
          <w:rFonts w:asciiTheme="majorBidi" w:hAnsiTheme="majorBidi" w:cstheme="majorBidi"/>
          <w:b/>
          <w:i/>
          <w:iCs/>
          <w:color w:val="000000"/>
          <w:lang w:bidi="ar-AE"/>
        </w:rPr>
      </w:pPr>
      <w:bookmarkStart w:id="182" w:name="_Toc209626955"/>
      <w:bookmarkStart w:id="183" w:name="_Toc217491592"/>
      <w:r>
        <w:rPr>
          <w:rFonts w:asciiTheme="majorBidi" w:hAnsiTheme="majorBidi" w:cstheme="majorBidi"/>
          <w:b/>
          <w:i/>
          <w:iCs/>
          <w:color w:val="000000"/>
          <w:lang w:bidi="ar-AE"/>
        </w:rPr>
        <w:t>4.2.4. Cybersecurity Audits and Risk Assessments</w:t>
      </w:r>
      <w:bookmarkEnd w:id="182"/>
      <w:bookmarkEnd w:id="183"/>
    </w:p>
    <w:p w14:paraId="7D598F5B"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Cybersecurity audits and risk assessments play an indispensable role in safeguarding privacy and confidentiality in online arbitration. While tools such as encryption and </w:t>
      </w:r>
      <w:r>
        <w:rPr>
          <w:rFonts w:asciiTheme="majorBidi" w:eastAsia="Calibri" w:hAnsiTheme="majorBidi" w:cstheme="majorBidi"/>
          <w:color w:val="000000"/>
          <w:lang w:bidi="ar-AE"/>
        </w:rPr>
        <w:lastRenderedPageBreak/>
        <w:t>blockchain provide the technical infrastructure for secure communications, these mechanisms cannot function effectively without continuous evaluation and oversight. A cybersecurity audit is a systematic review of an institutions or tribunal’s digital infrastructure, designed to identify vulnerabilities that could expose sensitive arbitration data to unauthorised access or breaches. In the context of international arbitration, where parties often share highly confidential trade secrets, intellectual property, or sensitive commercial strategies, a failure to conduct regular audits can undermine the very foundation of trust upon which arbitration depends. By contrast, periodic cybersecurity assessments help arbitral institutions and parties anticipate potential risks, implement preventative measures, and demonstrate their commitment to data protection.</w:t>
      </w:r>
      <w:r>
        <w:rPr>
          <w:rFonts w:asciiTheme="majorBidi" w:eastAsia="Times New Roman" w:hAnsiTheme="majorBidi" w:cstheme="majorBidi"/>
          <w:color w:val="202C6C"/>
        </w:rPr>
        <w:t xml:space="preserve"> </w:t>
      </w:r>
      <w:r>
        <w:rPr>
          <w:rFonts w:asciiTheme="majorBidi" w:eastAsia="Calibri" w:hAnsiTheme="majorBidi" w:cstheme="majorBidi"/>
          <w:color w:val="000000"/>
          <w:lang w:bidi="ar-AE"/>
        </w:rPr>
        <w:t>In the UAE context, national priorities and mandatory cybersecurity requirements are established by the Cybersecurity Council. Its guidelines further reinforce the obligation of arbitral institutions to proactively adopt audit mechanisms that would ensure their compliance with federal cybersecurity frameworks. This practice reflects broader industry standards such as those outlined by ISO/IEC 27001, which emphasize risk-based approaches to information security management</w:t>
      </w:r>
      <w:r>
        <w:rPr>
          <w:rStyle w:val="FootnoteReference"/>
          <w:rFonts w:asciiTheme="majorBidi" w:eastAsia="Times New Roman" w:hAnsiTheme="majorBidi" w:cstheme="majorBidi"/>
          <w:color w:val="000000"/>
          <w:lang w:bidi="ar-AE"/>
        </w:rPr>
        <w:footnoteReference w:id="336"/>
      </w:r>
      <w:r>
        <w:rPr>
          <w:rFonts w:asciiTheme="majorBidi" w:eastAsia="Calibri" w:hAnsiTheme="majorBidi" w:cstheme="majorBidi"/>
          <w:color w:val="000000"/>
          <w:lang w:bidi="ar-AE"/>
        </w:rPr>
        <w:t>.</w:t>
      </w:r>
    </w:p>
    <w:p w14:paraId="6FDDA3F8" w14:textId="77777777" w:rsidR="00F073C0" w:rsidRPr="008819FD" w:rsidRDefault="00F073C0" w:rsidP="00311168">
      <w:pPr>
        <w:spacing w:line="480" w:lineRule="auto"/>
        <w:ind w:firstLine="720"/>
        <w:rPr>
          <w:rFonts w:asciiTheme="majorBidi" w:hAnsiTheme="majorBidi" w:cstheme="majorBidi"/>
        </w:rPr>
      </w:pPr>
      <w:r>
        <w:rPr>
          <w:rFonts w:asciiTheme="majorBidi" w:hAnsiTheme="majorBidi" w:cstheme="majorBidi"/>
        </w:rPr>
        <w:t>In the UAE context, national cybersecurity priorities and mandatory compliance requirements are centrally established by the UAE Cybersecurity Council, which was created pursuant to Federal Decree-Law No 12 of 2021</w:t>
      </w:r>
      <w:r>
        <w:rPr>
          <w:rStyle w:val="FootnoteReference"/>
          <w:rFonts w:asciiTheme="majorBidi" w:hAnsiTheme="majorBidi" w:cstheme="majorBidi"/>
        </w:rPr>
        <w:footnoteReference w:id="337"/>
      </w:r>
      <w:r>
        <w:rPr>
          <w:rFonts w:asciiTheme="majorBidi" w:hAnsiTheme="majorBidi" w:cstheme="majorBidi"/>
        </w:rPr>
        <w:t xml:space="preserve"> as the supreme national authority responsible for regulating, coordinating, and developing the state’s cybersecurity framework. The Council plays a pivotal role in safeguarding digital infrastructure across both public and private sectors by issuing binding policies, strategies, and technical standards aimed at </w:t>
      </w:r>
      <w:r>
        <w:rPr>
          <w:rFonts w:asciiTheme="majorBidi" w:hAnsiTheme="majorBidi" w:cstheme="majorBidi"/>
        </w:rPr>
        <w:lastRenderedPageBreak/>
        <w:t>protecting information assets, digital platforms, and critical national systems</w:t>
      </w:r>
      <w:r>
        <w:rPr>
          <w:rStyle w:val="FootnoteReference"/>
          <w:rFonts w:asciiTheme="majorBidi" w:hAnsiTheme="majorBidi" w:cstheme="majorBidi"/>
        </w:rPr>
        <w:footnoteReference w:id="338"/>
      </w:r>
      <w:r>
        <w:rPr>
          <w:rFonts w:asciiTheme="majorBidi" w:hAnsiTheme="majorBidi" w:cstheme="majorBidi"/>
        </w:rPr>
        <w:t>. Among its most significant contributions is the development of the UAE National Cybersecurity Strategy, alongside sector-wide cybersecurity policies and the Critical Information Infrastructure (CII) Protection Policy</w:t>
      </w:r>
      <w:r>
        <w:rPr>
          <w:rStyle w:val="FootnoteReference"/>
          <w:rFonts w:asciiTheme="majorBidi" w:hAnsiTheme="majorBidi" w:cstheme="majorBidi"/>
        </w:rPr>
        <w:footnoteReference w:id="339"/>
      </w:r>
      <w:r>
        <w:rPr>
          <w:rFonts w:asciiTheme="majorBidi" w:hAnsiTheme="majorBidi" w:cstheme="majorBidi"/>
        </w:rPr>
        <w:t>, which establishes mandatory obligations for entities handling sensitive or mission-critical data to implement robust governance, risk management, and incident-response mechanisms.</w:t>
      </w:r>
    </w:p>
    <w:p w14:paraId="24E8627F" w14:textId="77777777" w:rsidR="00F073C0" w:rsidRPr="008819FD" w:rsidRDefault="00F073C0" w:rsidP="00311168">
      <w:pPr>
        <w:spacing w:line="480" w:lineRule="auto"/>
        <w:ind w:firstLine="720"/>
        <w:rPr>
          <w:rFonts w:asciiTheme="majorBidi" w:hAnsiTheme="majorBidi" w:cstheme="majorBidi"/>
        </w:rPr>
      </w:pPr>
      <w:r>
        <w:rPr>
          <w:rFonts w:asciiTheme="majorBidi" w:hAnsiTheme="majorBidi" w:cstheme="majorBidi"/>
        </w:rPr>
        <w:t>These regulatory instruments extend their relevance to arbitral institutions and arbitration service providers operating within the UAE, particularly where proceedings involve electronically stored information, digital communications, or virtual case management systems. The Council’s guidelines reinforce the obligation of such institutions to proactively adopt internal audit mechanisms, cybersecurity controls, and continuous compliance assessments to ensure alignment with federal cybersecurity frameworks</w:t>
      </w:r>
      <w:r>
        <w:rPr>
          <w:rStyle w:val="FootnoteReference"/>
          <w:rFonts w:asciiTheme="majorBidi" w:hAnsiTheme="majorBidi" w:cstheme="majorBidi"/>
        </w:rPr>
        <w:footnoteReference w:id="340"/>
      </w:r>
      <w:r>
        <w:rPr>
          <w:rFonts w:asciiTheme="majorBidi" w:hAnsiTheme="majorBidi" w:cstheme="majorBidi"/>
        </w:rPr>
        <w:t xml:space="preserve">. This regulatory approach reflects broader international best practices, including those articulated under **ISO/IEC 27001** </w:t>
      </w:r>
      <w:r>
        <w:rPr>
          <w:rStyle w:val="FootnoteReference"/>
          <w:rFonts w:asciiTheme="majorBidi" w:hAnsiTheme="majorBidi" w:cstheme="majorBidi"/>
        </w:rPr>
        <w:footnoteReference w:id="341"/>
      </w:r>
      <w:r>
        <w:rPr>
          <w:rFonts w:asciiTheme="majorBidi" w:hAnsiTheme="majorBidi" w:cstheme="majorBidi"/>
        </w:rPr>
        <w:t xml:space="preserve">, which emphasize a risk-based, lifecycle approach to information security management. Accordingly, compliance with the Council’s policies is not merely a technical requirement but a legal and institutional necessity that directly shapes confidentiality assurance, data integrity, and trust in arbitration processes within the UAE’s increasingly digital dispute resolution environment </w:t>
      </w:r>
      <w:r>
        <w:rPr>
          <w:rStyle w:val="FootnoteReference"/>
          <w:rFonts w:asciiTheme="majorBidi" w:hAnsiTheme="majorBidi" w:cstheme="majorBidi"/>
        </w:rPr>
        <w:footnoteReference w:id="342"/>
      </w:r>
      <w:r>
        <w:rPr>
          <w:rFonts w:asciiTheme="majorBidi" w:hAnsiTheme="majorBidi" w:cstheme="majorBidi"/>
        </w:rPr>
        <w:t>.</w:t>
      </w:r>
    </w:p>
    <w:p w14:paraId="0217704B"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The importance of cybersecurity audits in arbitration has been highlighted by leading institutions and professional guidelines. For example, the ICCA–NYC Bar–CPR Cybersecurity Protocol (2020) explicitly calls for arbitral participants to conduct risk assessments proportionate to the sensitivity of the data involved and the resources of the parties. In high-value disputes, where millions or even billions of dollars may be at stake, the failure to conduct adequate audits can result not only in data breaches but also in reputational damage to institutions and challenges to the enforceability of awards. Audits typically include penetration testing, vulnerability scans, and assessments of access controls for case management systems and virtual hearing platforms. These technical processes allow institutions to identify gaps in firewalls, detect outdated software, and assess whether user credentials are adequately protected through mechanisms like two-factor authentication. In addition to technical reviews, audits may also include policy assessments, ensuring that arbitrators, counsel, and administrative staff are trained to follow best practices in cybersecurity.</w:t>
      </w:r>
      <w:r>
        <w:rPr>
          <w:rStyle w:val="FootnoteReference"/>
          <w:rFonts w:asciiTheme="majorBidi" w:eastAsia="Times New Roman" w:hAnsiTheme="majorBidi" w:cstheme="majorBidi"/>
          <w:color w:val="000000"/>
          <w:lang w:bidi="ar-AE"/>
        </w:rPr>
        <w:footnoteReference w:id="343"/>
      </w:r>
    </w:p>
    <w:p w14:paraId="583B8BAA"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Risk assessments in arbitration also serve an important role in tailoring cybersecurity measures to the specific characteristics of each case. Not all disputes require the same level of security: a small domestic arbitration involving routine contractual disputes may not demand the same resources as a complex investor–state arbitration involving state secrets or proprietary technology. The principle of proportionality, emphasised in the AAA–ICDR Cybersecurity Checklist (2020), suggests that cybersecurity measures should be calibrated to the nature, value, and sensitivity of the information exchanged. For example, a risk assessment may reveal that parties to a sensitive dispute should use end-to-end encrypted document </w:t>
      </w:r>
      <w:r>
        <w:rPr>
          <w:rFonts w:asciiTheme="majorBidi" w:eastAsia="Calibri" w:hAnsiTheme="majorBidi" w:cstheme="majorBidi"/>
          <w:color w:val="000000"/>
          <w:lang w:bidi="ar-AE"/>
        </w:rPr>
        <w:lastRenderedPageBreak/>
        <w:t>sharing platforms and secure cloud storage, while a less complex case may rely on more basic safeguards. This tailored approach prevents overburdening parties with unnecessary costs while ensuring that confidentiality is not compromised in high-risk cases. Risk assessments thus function as a bridge between abstract security standards and practical implementation in the arbitration process</w:t>
      </w:r>
      <w:r>
        <w:rPr>
          <w:rStyle w:val="FootnoteReference"/>
          <w:rFonts w:asciiTheme="majorBidi" w:eastAsia="Times New Roman" w:hAnsiTheme="majorBidi" w:cstheme="majorBidi"/>
          <w:color w:val="000000"/>
          <w:lang w:bidi="ar-AE"/>
        </w:rPr>
        <w:footnoteReference w:id="344"/>
      </w:r>
      <w:r>
        <w:rPr>
          <w:rFonts w:asciiTheme="majorBidi" w:eastAsia="Calibri" w:hAnsiTheme="majorBidi" w:cstheme="majorBidi"/>
          <w:color w:val="000000"/>
          <w:lang w:bidi="ar-AE"/>
        </w:rPr>
        <w:t>.</w:t>
      </w:r>
    </w:p>
    <w:p w14:paraId="7F69EF38"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benefits of audits and risk assessments, however, are tempered by several challenges. First, the costs of conducting regular cybersecurity evaluations can be significant, especially for smaller arbitral institutions or parties from developing jurisdictions. This raises concerns about equality of arms, as wealthier parties may be able to afford sophisticated audits while others cannot. Second, audits and risk assessments often require specialised technical expertise, which may not be readily available within arbitration institutions traditionally staffed by lawyers rather than IT professionals. Third, there is a risk of over-reliance on audits as symbolic gestures: institutions may conduct assessments to satisfy formal requirements but fail to implement recommended changes in practice. These challenges underscore the importance of embedding cybersecurity evaluations not only in institutional guidelines but also in enforceable legal frameworks that create accountability for compliance. Without such enforcement, audits risk becoming superficial exercises rather than meaningful safeguards.</w:t>
      </w:r>
      <w:r>
        <w:rPr>
          <w:rStyle w:val="FootnoteReference"/>
          <w:rFonts w:asciiTheme="majorBidi" w:eastAsia="Times New Roman" w:hAnsiTheme="majorBidi" w:cstheme="majorBidi"/>
          <w:color w:val="000000"/>
          <w:lang w:bidi="ar-AE"/>
        </w:rPr>
        <w:footnoteReference w:id="345"/>
      </w:r>
      <w:r>
        <w:rPr>
          <w:rFonts w:asciiTheme="majorBidi" w:eastAsia="Calibri" w:hAnsiTheme="majorBidi" w:cstheme="majorBidi"/>
          <w:color w:val="000000"/>
          <w:lang w:bidi="ar-AE"/>
        </w:rPr>
        <w:t>.</w:t>
      </w:r>
    </w:p>
    <w:p w14:paraId="1E0B2EDB"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Despite these challenges, the integration of cybersecurity audits and risk assessments into arbitration practice represents an essential step toward strengthening data protection in the digital era. Institutions such as the LCIA (2020 Rules) and the ICC (2021 Report on </w:t>
      </w:r>
      <w:r>
        <w:rPr>
          <w:rFonts w:asciiTheme="majorBidi" w:eastAsia="Calibri" w:hAnsiTheme="majorBidi" w:cstheme="majorBidi"/>
          <w:color w:val="000000"/>
          <w:lang w:bidi="ar-AE"/>
        </w:rPr>
        <w:lastRenderedPageBreak/>
        <w:t>Leveraging Technology) emphasize that cybersecurity cannot be left to chance, but must be actively monitored, tested, and improved. In the UAE, arbitral centres like DIAC and ADGM have begun to implement digital platforms that allow for more secure management of arbitration files, but there is limited evidence that comprehensive cybersecurity audits are systematically conducted. The absence of publicly available audit standards in the UAE suggests that while the infrastructure for digital arbitration exists, more work is needed to institutionalize risk assessments and create a culture of continuous improvement. Ultimately, cybersecurity audits and risk assessments ensure that arbitration remains not only technologically advanced but also trustworthy, reinforcing the principle that confidentiality is central to arbitration’s legitimacy in both domestic and international contexts.</w:t>
      </w:r>
      <w:r>
        <w:rPr>
          <w:rStyle w:val="FootnoteReference"/>
          <w:rFonts w:asciiTheme="majorBidi" w:eastAsia="Times New Roman" w:hAnsiTheme="majorBidi" w:cstheme="majorBidi"/>
          <w:color w:val="000000"/>
          <w:lang w:bidi="ar-AE"/>
        </w:rPr>
        <w:footnoteReference w:id="346"/>
      </w:r>
      <w:r>
        <w:rPr>
          <w:rFonts w:asciiTheme="majorBidi" w:eastAsia="Calibri" w:hAnsiTheme="majorBidi" w:cstheme="majorBidi"/>
          <w:color w:val="000000"/>
          <w:lang w:bidi="ar-AE"/>
        </w:rPr>
        <w:t>.</w:t>
      </w:r>
    </w:p>
    <w:p w14:paraId="2E11569C" w14:textId="77777777" w:rsidR="00F073C0" w:rsidRPr="008819FD" w:rsidRDefault="00F073C0" w:rsidP="0099552A">
      <w:pPr>
        <w:keepNext/>
        <w:keepLines/>
        <w:spacing w:before="40" w:after="0" w:line="480" w:lineRule="auto"/>
        <w:outlineLvl w:val="2"/>
        <w:rPr>
          <w:rFonts w:asciiTheme="majorBidi" w:eastAsia="Times New Roman" w:hAnsiTheme="majorBidi" w:cstheme="majorBidi"/>
          <w:b/>
          <w:bCs/>
          <w:i/>
          <w:iCs/>
          <w:color w:val="000000"/>
          <w:lang w:bidi="ar-AE"/>
        </w:rPr>
      </w:pPr>
      <w:bookmarkStart w:id="184" w:name="_Toc209626956"/>
      <w:bookmarkStart w:id="185" w:name="_Toc217491593"/>
      <w:r>
        <w:rPr>
          <w:rFonts w:asciiTheme="majorBidi" w:eastAsia="Times New Roman" w:hAnsiTheme="majorBidi" w:cstheme="majorBidi"/>
          <w:b/>
          <w:bCs/>
          <w:i/>
          <w:iCs/>
          <w:color w:val="000000"/>
          <w:lang w:bidi="ar-AE"/>
        </w:rPr>
        <w:t>4.2.5. Digital Case Management Platforms</w:t>
      </w:r>
      <w:bookmarkEnd w:id="184"/>
      <w:bookmarkEnd w:id="185"/>
    </w:p>
    <w:p w14:paraId="6A346A59"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Digital case management platforms have become one of the most transformative tools in the practice of online arbitration. Traditionally, arbitral proceedings involved physical submissions of pleadings, paper-based exhibits, and in-person filing at institutional offices. </w:t>
      </w:r>
    </w:p>
    <w:p w14:paraId="77E0C3B4"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This system was not only costly but also prone to delays, inefficiencies, and risks of misplacement of documents. With the advent of digital platforms, arbitral institutions can now provide parties and tribunals with secure, centralized portals through which they can file documents, access case updates, and communicate in real time. These platforms significantly reduce administrative burdens and costs, while simultaneously enhancing transparency and accountability in the arbitral process. Importantly, they also serve as the first line of defense for protecting privacy and confidentiality, as all sensitive case materials are stored within </w:t>
      </w:r>
      <w:r>
        <w:rPr>
          <w:rFonts w:asciiTheme="majorBidi" w:eastAsia="Calibri" w:hAnsiTheme="majorBidi" w:cstheme="majorBidi"/>
          <w:color w:val="000000"/>
          <w:lang w:bidi="ar-AE"/>
        </w:rPr>
        <w:lastRenderedPageBreak/>
        <w:t>controlled digital environments rather than being transmitted through insecure email systems. Institutions such as the LCIA, ICC, and ICDR have already developed proprietary case management platforms, setting benchmarks for secure and efficient online arbitration</w:t>
      </w:r>
      <w:r>
        <w:rPr>
          <w:rStyle w:val="FootnoteReference"/>
          <w:rFonts w:asciiTheme="majorBidi" w:eastAsia="Times New Roman" w:hAnsiTheme="majorBidi" w:cstheme="majorBidi"/>
          <w:color w:val="000000"/>
          <w:lang w:bidi="ar-AE"/>
        </w:rPr>
        <w:footnoteReference w:id="347"/>
      </w:r>
      <w:r>
        <w:rPr>
          <w:rFonts w:asciiTheme="majorBidi" w:eastAsia="Calibri" w:hAnsiTheme="majorBidi" w:cstheme="majorBidi"/>
          <w:color w:val="000000"/>
          <w:lang w:bidi="ar-AE"/>
        </w:rPr>
        <w:t>.</w:t>
      </w:r>
    </w:p>
    <w:p w14:paraId="04C0B566"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 notable example of such innovation is the LCIA’s “NetCase” platform, which allows parties and arbitrators to manage all aspects of their cases online, including submission of pleadings, uploading of exhibits, scheduling of hearings, and circulation of awards. NetCase is equipped with advanced cybersecurity features such as encryption, multi-factor authentication, and role-based access control, ensuring that only authorized users can view or edit sensitive documents. The ICC has also implemented a digital case management system integrated with its Secretariat, enabling tribunals and parties to conduct proceedings with reduced reliance on paper filings. These developments are not merely administrative conveniences; they fundamentally reshape the way confidentiality is protected in arbitration. By shifting from fragmented channels of communication to centralized platforms with robust security protocols, institutions minimise the risk of data breaches and unauthorised disclosures. This trend demonstrates how technology is not only supporting but also redefining the foundational principle of confidentiality in arbitration.</w:t>
      </w:r>
    </w:p>
    <w:p w14:paraId="6FFBB7D5"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benefits of digital case management platforms extend beyond security. They also contribute to procedural efficiency and sustainability. By enabling online filing and eliminating paper-based submissions, these platforms significantly reduce logistical delays and the environmental footprint of international arbitration, which has traditionally involved extensive printing and courier services. Moreover, digital platforms facilitate real-time </w:t>
      </w:r>
      <w:r>
        <w:rPr>
          <w:rFonts w:asciiTheme="majorBidi" w:eastAsia="Calibri" w:hAnsiTheme="majorBidi" w:cstheme="majorBidi"/>
          <w:color w:val="000000"/>
          <w:lang w:bidi="ar-AE"/>
        </w:rPr>
        <w:lastRenderedPageBreak/>
        <w:t>communication between tribunals, parties, and institutions, thereby reducing misunderstandings and procedural disputes. In multi-party arbitrations, where coordination is particularly challenging, case management platforms provide an organized structure that ensures all parties have simultaneous access to the same information. This transparency reduces the likelihood of allegations of unequal treatment or procedural unfairness, strengthening the enforceability of awards under frameworks such as the New York Convention. Thus, digital case management platforms represent a convergence of efficiency, fairness, and confidentiality, advancing the legitimacy of online arbitration as a whole</w:t>
      </w:r>
      <w:r>
        <w:rPr>
          <w:rStyle w:val="FootnoteReference"/>
          <w:rFonts w:asciiTheme="majorBidi" w:eastAsia="Times New Roman" w:hAnsiTheme="majorBidi" w:cstheme="majorBidi"/>
          <w:color w:val="000000"/>
          <w:lang w:bidi="ar-AE"/>
        </w:rPr>
        <w:footnoteReference w:id="348"/>
      </w:r>
      <w:r>
        <w:rPr>
          <w:rFonts w:asciiTheme="majorBidi" w:eastAsia="Calibri" w:hAnsiTheme="majorBidi" w:cstheme="majorBidi"/>
          <w:color w:val="000000"/>
          <w:lang w:bidi="ar-AE"/>
        </w:rPr>
        <w:t>.</w:t>
      </w:r>
    </w:p>
    <w:p w14:paraId="26C865E9"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Nevertheless, the adoption of digital platforms is not without challenges. One key concern is the question of data sovereignty: where is the data stored, and under which jurisdiction’s laws does it fall? In many cases, case management platforms are hosted on cloud servers located outside the jurisdiction of the arbitration seat. This raises questions about compliance with national data protection laws, such as the European Union’s GDPR or the UAE’s Federal Decree-Law No. 45 of 2021 on the Protection of Personal Data. Another concern relates to the cost of implementation. While leading institutions like the ICC or LCIA can afford to build and maintain sophisticated digital platforms, smaller arbitral centre s may struggle to do so, potentially creating disparities in the quality of data protection across institutions. Furthermore, the reliance on third-party technology providers raises issues of liability: if a breach occurs within the provider’s system, it is not always clear whether responsibility lies with the institution, the tribunal, or the vendor. These challenges underscore </w:t>
      </w:r>
      <w:r>
        <w:rPr>
          <w:rFonts w:asciiTheme="majorBidi" w:eastAsia="Calibri" w:hAnsiTheme="majorBidi" w:cstheme="majorBidi"/>
          <w:color w:val="000000"/>
          <w:lang w:bidi="ar-AE"/>
        </w:rPr>
        <w:lastRenderedPageBreak/>
        <w:t>the need for clear contractual provisions, institutional policies, and perhaps even legislative frameworks to govern the use of digital case management platforms in arbitration</w:t>
      </w:r>
      <w:r>
        <w:rPr>
          <w:rStyle w:val="FootnoteReference"/>
          <w:rFonts w:asciiTheme="majorBidi" w:eastAsia="Times New Roman" w:hAnsiTheme="majorBidi" w:cstheme="majorBidi"/>
          <w:color w:val="000000"/>
          <w:lang w:bidi="ar-AE"/>
        </w:rPr>
        <w:footnoteReference w:id="349"/>
      </w:r>
      <w:r>
        <w:rPr>
          <w:rFonts w:asciiTheme="majorBidi" w:eastAsia="Calibri" w:hAnsiTheme="majorBidi" w:cstheme="majorBidi"/>
          <w:color w:val="000000"/>
          <w:lang w:bidi="ar-AE"/>
        </w:rPr>
        <w:t>.</w:t>
      </w:r>
    </w:p>
    <w:p w14:paraId="70FA551D"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Despite these challenges, the future of arbitration is inseparable from the expansion of digital case management platforms. In the UAE, institutions such as DIAC and ADGM have taken important steps toward digitalization by launching portals that enable online filing, scheduling, and communication. However, the sophistication of these platforms varies, and there is still room for improvement in areas such as encryption, biometric authentication, and compliance with international data protection standards. If UAE institutions were to align their platforms with best practices established by leading arbitral bodies and international guidelines (such as the ICCA–NYC Bar–CPR Cybersecurity Protocol, 2020), they could strengthen their global standing as arbitral hubs. Ultimately, digital case management platforms embody the intersection of technology and law: they are tools that enhance efficiency and accessibility, but they also raise critical legal and ethical questions about confidentiality, data protection, and equality of arms. Their continued development will therefore play a decisive role in shaping the future landscape of online arbitration.</w:t>
      </w:r>
      <w:r>
        <w:rPr>
          <w:rStyle w:val="FootnoteReference"/>
          <w:rFonts w:asciiTheme="majorBidi" w:eastAsia="Times New Roman" w:hAnsiTheme="majorBidi" w:cstheme="majorBidi"/>
          <w:color w:val="000000"/>
          <w:lang w:bidi="ar-AE"/>
        </w:rPr>
        <w:footnoteReference w:id="350"/>
      </w:r>
      <w:r>
        <w:rPr>
          <w:rFonts w:asciiTheme="majorBidi" w:eastAsia="Calibri" w:hAnsiTheme="majorBidi" w:cstheme="majorBidi"/>
          <w:color w:val="000000"/>
          <w:lang w:bidi="ar-AE"/>
        </w:rPr>
        <w:t>.</w:t>
      </w:r>
    </w:p>
    <w:p w14:paraId="4EA01F96" w14:textId="77777777" w:rsidR="00F073C0" w:rsidRPr="008819FD" w:rsidRDefault="00F073C0" w:rsidP="00663759">
      <w:pPr>
        <w:pStyle w:val="Heading2"/>
        <w:rPr>
          <w:rFonts w:asciiTheme="majorBidi" w:hAnsiTheme="majorBidi" w:cstheme="majorBidi"/>
          <w:sz w:val="24"/>
          <w:szCs w:val="24"/>
          <w:lang w:bidi="ar-AE"/>
        </w:rPr>
      </w:pPr>
      <w:bookmarkStart w:id="186" w:name="_Toc209626957"/>
      <w:bookmarkStart w:id="187" w:name="_Toc217491594"/>
      <w:bookmarkStart w:id="188" w:name="_Toc221804541"/>
      <w:r>
        <w:rPr>
          <w:rFonts w:asciiTheme="majorBidi" w:hAnsiTheme="majorBidi" w:cstheme="majorBidi"/>
          <w:sz w:val="24"/>
          <w:szCs w:val="24"/>
          <w:lang w:bidi="ar-AE"/>
        </w:rPr>
        <w:t>Ethical Considerations in Online Arbitration</w:t>
      </w:r>
      <w:bookmarkEnd w:id="186"/>
      <w:bookmarkEnd w:id="187"/>
      <w:bookmarkEnd w:id="188"/>
    </w:p>
    <w:p w14:paraId="6FE8A69D" w14:textId="77777777" w:rsidR="00F073C0" w:rsidRPr="008819FD" w:rsidRDefault="002A0878" w:rsidP="009F5ACD">
      <w:pPr>
        <w:pStyle w:val="Heading3"/>
        <w:rPr>
          <w:rFonts w:asciiTheme="majorBidi" w:hAnsiTheme="majorBidi" w:cstheme="majorBidi"/>
          <w:lang w:bidi="ar-AE"/>
        </w:rPr>
      </w:pPr>
      <w:bookmarkStart w:id="189" w:name="_Toc209626958"/>
      <w:bookmarkStart w:id="190" w:name="_Toc217491595"/>
      <w:bookmarkStart w:id="191" w:name="_Toc221804542"/>
      <w:r>
        <w:rPr>
          <w:rFonts w:asciiTheme="majorBidi" w:eastAsia="Times New Roman" w:hAnsiTheme="majorBidi" w:cstheme="majorBidi"/>
          <w:lang w:bidi="ar-AE"/>
        </w:rPr>
        <w:t xml:space="preserve">4.3.1 </w:t>
      </w:r>
      <w:r>
        <w:rPr>
          <w:rFonts w:asciiTheme="majorBidi" w:hAnsiTheme="majorBidi" w:cstheme="majorBidi"/>
          <w:lang w:bidi="ar-AE"/>
        </w:rPr>
        <w:t>Duty of Confidentiality of Arbitrators and Counsel</w:t>
      </w:r>
      <w:bookmarkEnd w:id="189"/>
      <w:bookmarkEnd w:id="190"/>
      <w:bookmarkEnd w:id="191"/>
    </w:p>
    <w:p w14:paraId="4B4CCF2B"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duty of confidentiality has always been regarded as one of the pillars of arbitration, distinguishing it from litigation and reinforcing the trust of parties who value </w:t>
      </w:r>
      <w:r>
        <w:rPr>
          <w:rFonts w:asciiTheme="majorBidi" w:eastAsia="Calibri" w:hAnsiTheme="majorBidi" w:cstheme="majorBidi"/>
          <w:color w:val="000000"/>
          <w:lang w:bidi="ar-AE"/>
        </w:rPr>
        <w:lastRenderedPageBreak/>
        <w:t>privacy in dispute resolution. In the digital environment, however, this duty takes on new dimensions and challenges. Arbitrators and counsel are no longer merely responsible for ensuring that pleadings, evidence, and awards are not disclosed to unauthorised third parties; they must also actively manage the digital risks associated with online hearings, electronic submissions, and virtual case management systems. Confidentiality now extends to ensuring that communication platforms are secure, that digital files are adequately encrypted, and that electronic records are not inadvertently disclosed through poor cybersecurity practices. This expanded scope reflects the recognition that technological vulnerabilities can undermine legal and ethical obligations if not proactively addressed</w:t>
      </w:r>
      <w:r>
        <w:rPr>
          <w:rStyle w:val="FootnoteReference"/>
          <w:rFonts w:asciiTheme="majorBidi" w:eastAsia="Times New Roman" w:hAnsiTheme="majorBidi" w:cstheme="majorBidi"/>
          <w:color w:val="000000"/>
          <w:lang w:bidi="ar-AE"/>
        </w:rPr>
        <w:footnoteReference w:id="351"/>
      </w:r>
      <w:r>
        <w:rPr>
          <w:rFonts w:asciiTheme="majorBidi" w:eastAsia="Calibri" w:hAnsiTheme="majorBidi" w:cstheme="majorBidi"/>
          <w:color w:val="000000"/>
          <w:lang w:bidi="ar-AE"/>
        </w:rPr>
        <w:t>.</w:t>
      </w:r>
    </w:p>
    <w:p w14:paraId="5CB48175"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For arbitrators, the duty of confidentiality is both a professional and ethical obligation. Institutions such as the ICC and LCIA expressly incorporate confidentiality provisions into their rules, and many national arbitration laws—including the UAE’s Federal Law No. 6 of 2018 on Arbitration—recognize confidentiality as an implied aspect of arbitral proceedings. Yet in the context of online arbitration, the arbitrator’s role is more proactive than before. Arbitrators must not only avoid unauthorised disclosure but must also ensure that the digital platforms used for hearings and document exchange meet minimum standards of data protection. For instance, tribunals may be expected to specify in procedural orders that only secure, password-protected, and encrypted systems may be used for exchanging documents. Failure to impose such safeguards could expose arbitrators to ethical criticism, challenges to the award, or even liability in extreme cases. Thus, the digitization of arbitration has </w:t>
      </w:r>
      <w:r>
        <w:rPr>
          <w:rFonts w:asciiTheme="majorBidi" w:eastAsia="Calibri" w:hAnsiTheme="majorBidi" w:cstheme="majorBidi"/>
          <w:color w:val="000000"/>
          <w:lang w:bidi="ar-AE"/>
        </w:rPr>
        <w:lastRenderedPageBreak/>
        <w:t>transformed confidentiality from a passive duty of non-disclosure into an active duty of digital oversight</w:t>
      </w:r>
      <w:r>
        <w:rPr>
          <w:rStyle w:val="FootnoteReference"/>
          <w:rFonts w:asciiTheme="majorBidi" w:eastAsia="Times New Roman" w:hAnsiTheme="majorBidi" w:cstheme="majorBidi"/>
          <w:color w:val="000000"/>
          <w:lang w:bidi="ar-AE"/>
        </w:rPr>
        <w:footnoteReference w:id="352"/>
      </w:r>
      <w:r>
        <w:rPr>
          <w:rFonts w:asciiTheme="majorBidi" w:eastAsia="Calibri" w:hAnsiTheme="majorBidi" w:cstheme="majorBidi"/>
          <w:color w:val="000000"/>
          <w:lang w:bidi="ar-AE"/>
        </w:rPr>
        <w:t>.</w:t>
      </w:r>
    </w:p>
    <w:p w14:paraId="13D7415E"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Counsel also bears a heightened responsibility in safeguarding confidentiality in online arbitration. Lawyers are often the first point of contact for sensitive client information, including commercial strategies, trade secrets, or intellectual property. When such data is transmitted electronically, counsel must ensure that their law firms adopt robust cybersecurity practices, including firewalls, secure email systems, and two-factor authentication. The American Bar Association’s Formal Opinion 498 (2021), which addresses internet practice, emphasizes that lawyers must understand the technological risks of remote proceedings and take reasonable steps to protect client data. In arbitration, this translates into ensuring that witnesses are not exposed to unauthorised surveillance during virtual testimony, that exhibits are shared through secure portals, and that electronic communications with clients and tribunals remain encrypted. Counsel who fails to implement such practices risk breaching not only professional ethics but also the fundamental principle of confidentiality that underpins arbitration</w:t>
      </w:r>
      <w:r>
        <w:rPr>
          <w:rStyle w:val="FootnoteReference"/>
          <w:rFonts w:asciiTheme="majorBidi" w:eastAsia="Times New Roman" w:hAnsiTheme="majorBidi" w:cstheme="majorBidi"/>
          <w:color w:val="000000"/>
          <w:lang w:bidi="ar-AE"/>
        </w:rPr>
        <w:footnoteReference w:id="353"/>
      </w:r>
      <w:r>
        <w:rPr>
          <w:rFonts w:asciiTheme="majorBidi" w:eastAsia="Calibri" w:hAnsiTheme="majorBidi" w:cstheme="majorBidi"/>
          <w:color w:val="000000"/>
          <w:lang w:bidi="ar-AE"/>
        </w:rPr>
        <w:t>.</w:t>
      </w:r>
    </w:p>
    <w:p w14:paraId="43F38126"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interplay between confidentiality and digital technology also raises difficult questions about liability and enforceability. For example, if confidential information is leaked during a virtual hearing due to a platform’s security failure, who bears responsibility the tribunal, the arbitral institution, the platform provider, or the parties themselves? This uncertainty demonstrates that while confidentiality remains a core principle, its practical </w:t>
      </w:r>
      <w:r>
        <w:rPr>
          <w:rFonts w:asciiTheme="majorBidi" w:eastAsia="Calibri" w:hAnsiTheme="majorBidi" w:cstheme="majorBidi"/>
          <w:color w:val="000000"/>
          <w:lang w:bidi="ar-AE"/>
        </w:rPr>
        <w:lastRenderedPageBreak/>
        <w:t>enforcement in the digital sphere is fraught with ambiguity. Moreover, breaches of confidentiality in online arbitration may not only affect the immediate proceedings but also have broader repercussions, including reputational damage to institutions and reluctance by parties to choose arbitration in the future. This reality underscores the importance of clear protocols, institutional guidelines, and possibly even legislative interventions to delineate responsibilities in safeguarding confidentiality.</w:t>
      </w:r>
    </w:p>
    <w:p w14:paraId="6FAE6C03"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Finally, the ethical duty of confidentiality in online arbitration must be understood as part of a broader ecosystem of trust. Arbitration thrives on party confidence, and any perception that confidential information is inadequately protected can erode the attractiveness of arbitration as a dispute resolution mechanism. As Abdul Rahman (2020) notes, arbitral institutions play a central role in establishing cybersecurity standards, but arbitrators and counsel must operationalize these standards in practice. This includes continuous training in cybersecurity awareness, regular updates on evolving digital risks, and a willingness to adapt procedures as technology develops. In this sense, confidentiality in online arbitration is not a static principle but a dynamic obligation that evolves with the digital tools on which arbitration increasingly depends. The future of arbitration will likely require a more integrated approach in which ethical duties, technological safeguards, and legal frameworks operate in harmony to protect the privacy and confidentiality of parties</w:t>
      </w:r>
      <w:r>
        <w:rPr>
          <w:rStyle w:val="FootnoteReference"/>
          <w:rFonts w:asciiTheme="majorBidi" w:eastAsia="Times New Roman" w:hAnsiTheme="majorBidi" w:cstheme="majorBidi"/>
          <w:color w:val="000000"/>
          <w:lang w:bidi="ar-AE"/>
        </w:rPr>
        <w:footnoteReference w:id="354"/>
      </w:r>
      <w:r>
        <w:rPr>
          <w:rFonts w:asciiTheme="majorBidi" w:eastAsia="Calibri" w:hAnsiTheme="majorBidi" w:cstheme="majorBidi"/>
          <w:color w:val="000000"/>
          <w:lang w:bidi="ar-AE"/>
        </w:rPr>
        <w:t>.</w:t>
      </w:r>
    </w:p>
    <w:p w14:paraId="1172ADCC" w14:textId="77777777" w:rsidR="00F073C0" w:rsidRPr="008819FD" w:rsidRDefault="00F073C0" w:rsidP="009F5ACD">
      <w:pPr>
        <w:pStyle w:val="Heading3"/>
        <w:rPr>
          <w:rFonts w:asciiTheme="majorBidi" w:hAnsiTheme="majorBidi" w:cstheme="majorBidi"/>
          <w:lang w:bidi="ar-AE"/>
        </w:rPr>
      </w:pPr>
      <w:bookmarkStart w:id="192" w:name="_Toc209626959"/>
      <w:bookmarkStart w:id="193" w:name="_Toc217491596"/>
      <w:r>
        <w:rPr>
          <w:rFonts w:asciiTheme="majorBidi" w:hAnsiTheme="majorBidi" w:cstheme="majorBidi"/>
          <w:lang w:bidi="ar-AE"/>
        </w:rPr>
        <w:lastRenderedPageBreak/>
        <w:t xml:space="preserve"> </w:t>
      </w:r>
      <w:bookmarkStart w:id="194" w:name="_Toc221804543"/>
      <w:r>
        <w:rPr>
          <w:rFonts w:asciiTheme="majorBidi" w:eastAsia="Times New Roman" w:hAnsiTheme="majorBidi" w:cstheme="majorBidi"/>
          <w:lang w:bidi="ar-AE"/>
        </w:rPr>
        <w:t xml:space="preserve">4.3.2 </w:t>
      </w:r>
      <w:r>
        <w:rPr>
          <w:rFonts w:asciiTheme="majorBidi" w:hAnsiTheme="majorBidi" w:cstheme="majorBidi"/>
          <w:lang w:bidi="ar-AE"/>
        </w:rPr>
        <w:t>Fairness, Transparency, and Due Process in Virtual Hearings</w:t>
      </w:r>
      <w:bookmarkEnd w:id="192"/>
      <w:bookmarkEnd w:id="193"/>
      <w:bookmarkEnd w:id="194"/>
    </w:p>
    <w:p w14:paraId="77822494"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Fairness and transparency have long been considered foundational principles of arbitration, ensuring that both parties have equal opportunities to present their case and that proceedings are conducted in a manner consistent with due process. In the context of virtual hearings, however, these principles face new challenges. The shift from in-person to online hearings has created scenarios where technical failures, unequal access to technology, or limitations in digital literacy can disrupt the balance between parties. For example, if one party has access to a stable, high-speed virtual connection while the other struggles with poor connectivity, the equality of arms is compromised, potentially undermining the enforceability of an eventual award. As arbitration becomes increasingly reliant on virtual hearings, institutions and tribunals must develop procedures to ensure that fairness is not sacrificed for efficiency, and that transparency and due process are preserved in the digital environment</w:t>
      </w:r>
      <w:r>
        <w:rPr>
          <w:rStyle w:val="FootnoteReference"/>
          <w:rFonts w:asciiTheme="majorBidi" w:eastAsia="Times New Roman" w:hAnsiTheme="majorBidi" w:cstheme="majorBidi"/>
          <w:color w:val="000000"/>
          <w:lang w:bidi="ar-AE"/>
        </w:rPr>
        <w:footnoteReference w:id="355"/>
      </w:r>
      <w:r>
        <w:rPr>
          <w:rFonts w:asciiTheme="majorBidi" w:eastAsia="Calibri" w:hAnsiTheme="majorBidi" w:cstheme="majorBidi"/>
          <w:color w:val="000000"/>
          <w:lang w:bidi="ar-AE"/>
        </w:rPr>
        <w:t>.</w:t>
      </w:r>
    </w:p>
    <w:p w14:paraId="56C227D1"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One of the key concerns in virtual hearings is the potential for unequal access to resources. Parties from developed jurisdictions often have the technological infrastructure to fully participate in virtual hearings, including access to advanced cybersecurity tools, high-quality video conferencing equipment, and technical support teams. Conversely, parties from less developed regions may lack these resources, placing them at a disadvantage. This inequality is not merely a logistical inconvenience; it raises fundamental questions about fairness and whether arbitral institutions are fulfilling their obligation to provide a level playing field. Institutions such as the ICDR and ICC have attempted to address these concerns </w:t>
      </w:r>
      <w:r>
        <w:rPr>
          <w:rFonts w:asciiTheme="majorBidi" w:eastAsia="Calibri" w:hAnsiTheme="majorBidi" w:cstheme="majorBidi"/>
          <w:color w:val="000000"/>
          <w:lang w:bidi="ar-AE"/>
        </w:rPr>
        <w:lastRenderedPageBreak/>
        <w:t>by issuing guidelines that encourage tribunals to consider the technological capabilities of parties when making procedural decisions. Nevertheless, the persistent digital divide remains a critical challenge for maintaining fairness in online arbitration.</w:t>
      </w:r>
      <w:r>
        <w:rPr>
          <w:rStyle w:val="FootnoteReference"/>
          <w:rFonts w:asciiTheme="majorBidi" w:eastAsia="Times New Roman" w:hAnsiTheme="majorBidi" w:cstheme="majorBidi"/>
          <w:color w:val="000000"/>
          <w:lang w:bidi="ar-AE"/>
        </w:rPr>
        <w:footnoteReference w:id="356"/>
      </w:r>
      <w:r>
        <w:rPr>
          <w:rFonts w:asciiTheme="majorBidi" w:eastAsia="Calibri" w:hAnsiTheme="majorBidi" w:cstheme="majorBidi"/>
          <w:color w:val="000000"/>
          <w:lang w:bidi="ar-AE"/>
        </w:rPr>
        <w:t>.</w:t>
      </w:r>
    </w:p>
    <w:p w14:paraId="717E660C"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Transparency in virtual hearings also demands careful consideration. In physical hearings, transparency is often ensured through the presence of all parties in a single physical space, where proceedings can be monitored by the tribunal. In online settings, however, concerns arise about whether participants are being monitored by unauthorised third parties, whether witnesses are receiving improper assistance off-camera, or whether the integrity of testimony is being compromised. To address these concerns, institutions have begun to implement protocols requiring witnesses to disclose their surroundings at the start of testimony, maintain continuous video presence, and confirm that no unauthorised persons are present. While these measures enhance transparency, they also highlight the complexities of replicating the safeguards of physical hearings in the virtual environment. The tension between preserving transparency and respecting the privacy of participants’ environments remains an ongoing ethical and procedural dilemma</w:t>
      </w:r>
      <w:r>
        <w:rPr>
          <w:rStyle w:val="FootnoteReference"/>
          <w:rFonts w:asciiTheme="majorBidi" w:eastAsia="Times New Roman" w:hAnsiTheme="majorBidi" w:cstheme="majorBidi"/>
          <w:color w:val="000000"/>
          <w:lang w:bidi="ar-AE"/>
        </w:rPr>
        <w:footnoteReference w:id="357"/>
      </w:r>
      <w:r>
        <w:rPr>
          <w:rFonts w:asciiTheme="majorBidi" w:eastAsia="Calibri" w:hAnsiTheme="majorBidi" w:cstheme="majorBidi"/>
          <w:color w:val="000000"/>
          <w:lang w:bidi="ar-AE"/>
        </w:rPr>
        <w:t>.</w:t>
      </w:r>
    </w:p>
    <w:p w14:paraId="191DD47F"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Due process is perhaps the most critical aspect impacted by the transition to virtual hearings. Arbitral tribunals are bound by the duty to ensure that both parties are given a fair opportunity to present their case, and any perception of procedural unfairness could result in challenges to the enforceability of the award under instruments such as the New York Convention (1958). Virtual hearings pose risks to due process when technical failures prevent </w:t>
      </w:r>
      <w:r>
        <w:rPr>
          <w:rFonts w:asciiTheme="majorBidi" w:eastAsia="Calibri" w:hAnsiTheme="majorBidi" w:cstheme="majorBidi"/>
          <w:color w:val="000000"/>
          <w:lang w:bidi="ar-AE"/>
        </w:rPr>
        <w:lastRenderedPageBreak/>
        <w:t>a party from effectively presenting evidence or when the tribunal fails to provide reasonable accommodations for technological limitations. For example, interruptions caused by unstable connections or time zone differences in cross-border disputes can materially disadvantage one party. Tribunals are therefore increasingly required to exercise discretion in balancing efficiency with fairness, sometimes opting for hybrid hearings or flexible scheduling to uphold due process. These adaptations demonstrate the evolving nature of arbitral practice in response to the digitalization of dispute resolution</w:t>
      </w:r>
      <w:r>
        <w:rPr>
          <w:rStyle w:val="FootnoteReference"/>
          <w:rFonts w:asciiTheme="majorBidi" w:eastAsia="Times New Roman" w:hAnsiTheme="majorBidi" w:cstheme="majorBidi"/>
          <w:color w:val="000000"/>
          <w:lang w:bidi="ar-AE"/>
        </w:rPr>
        <w:footnoteReference w:id="358"/>
      </w:r>
      <w:r>
        <w:rPr>
          <w:rFonts w:asciiTheme="majorBidi" w:eastAsia="Calibri" w:hAnsiTheme="majorBidi" w:cstheme="majorBidi"/>
          <w:color w:val="000000"/>
          <w:lang w:bidi="ar-AE"/>
        </w:rPr>
        <w:t>.</w:t>
      </w:r>
    </w:p>
    <w:p w14:paraId="286DC29D"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Despite these challenges, virtual hearings also present opportunities to strengthen fairness, transparency, and due process. For instance, the ability to record proceedings provides a more accurate and verifiable record than traditional stenographic transcripts, reducing the risk of disputes over what was said. Similarly, digital platforms can facilitate greater transparency by providing all parties with simultaneous access to case materials, minimizing delays and miscommunication. Moreover, the cost savings and accessibility benefits of virtual hearings can enhance fairness by enabling parties with limited resources to participate in arbitration without incurring prohibitive travel expenses. These advantages suggest that, while virtual hearings introduce new risks, they also offer tools to reinforce the core principles of arbitration. The challenge for arbitral institutions and tribunals lies in striking the right balance between leveraging technology to enhance due process and ensuring that the unique vulnerabilities of digital platforms do not erode the fairness and transparency that underpin the legitimacy of arbitration.</w:t>
      </w:r>
    </w:p>
    <w:p w14:paraId="15CFB689" w14:textId="77777777" w:rsidR="00F073C0" w:rsidRPr="008819FD" w:rsidRDefault="002A0878" w:rsidP="009F5ACD">
      <w:pPr>
        <w:pStyle w:val="Heading3"/>
        <w:rPr>
          <w:rFonts w:asciiTheme="majorBidi" w:hAnsiTheme="majorBidi" w:cstheme="majorBidi"/>
          <w:lang w:bidi="ar-AE"/>
        </w:rPr>
      </w:pPr>
      <w:bookmarkStart w:id="195" w:name="_Toc209626960"/>
      <w:bookmarkStart w:id="196" w:name="_Toc217491597"/>
      <w:bookmarkStart w:id="197" w:name="_Toc221804544"/>
      <w:r>
        <w:rPr>
          <w:rFonts w:asciiTheme="majorBidi" w:eastAsia="Times New Roman" w:hAnsiTheme="majorBidi" w:cstheme="majorBidi"/>
          <w:lang w:bidi="ar-AE"/>
        </w:rPr>
        <w:lastRenderedPageBreak/>
        <w:t xml:space="preserve">4.3.3 </w:t>
      </w:r>
      <w:r>
        <w:rPr>
          <w:rFonts w:asciiTheme="majorBidi" w:hAnsiTheme="majorBidi" w:cstheme="majorBidi"/>
          <w:lang w:bidi="ar-AE"/>
        </w:rPr>
        <w:t>Ethical Use of Technology and Artificial Intelligence</w:t>
      </w:r>
      <w:bookmarkEnd w:id="195"/>
      <w:bookmarkEnd w:id="196"/>
      <w:bookmarkEnd w:id="197"/>
    </w:p>
    <w:p w14:paraId="5C9A73C5"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integration of technology and artificial intelligence (AI) into arbitration proceedings has revolutionized how cases are managed, analysed, and decided. From document review software that automates the identification of relevant evidence to AI-powered tools that predict case outcomes based on prior awards; technology is reshaping the practice of arbitration in ways that were unimaginable a decade ago. However, this rapid adoption of digital tools raises significant ethical questions, particularly concerning confidentiality, impartiality, and the duty of care owed by arbitrators and counsel. The use of AI introduces new risks of bias, data misuse, and over-reliance on algorithms that may not always align with the principles of fairness and due process. For arbitration to maintain its legitimacy, the ethical use of technology must be guided by clear standards that prioritize the protection of parties’ rights and the preservation of confidentiality in a digital environment</w:t>
      </w:r>
      <w:r>
        <w:rPr>
          <w:rStyle w:val="FootnoteReference"/>
          <w:rFonts w:asciiTheme="majorBidi" w:eastAsia="Times New Roman" w:hAnsiTheme="majorBidi" w:cstheme="majorBidi"/>
          <w:color w:val="000000"/>
          <w:lang w:bidi="ar-AE"/>
        </w:rPr>
        <w:footnoteReference w:id="359"/>
      </w:r>
      <w:r>
        <w:rPr>
          <w:rFonts w:asciiTheme="majorBidi" w:eastAsia="Calibri" w:hAnsiTheme="majorBidi" w:cstheme="majorBidi"/>
          <w:color w:val="000000"/>
          <w:lang w:bidi="ar-AE"/>
        </w:rPr>
        <w:t>.</w:t>
      </w:r>
    </w:p>
    <w:p w14:paraId="2C5829C7"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One of the primary ethical concerns with AI in arbitration is the risk of bias embedded in algorithms. Machine learning systems are trained on existing data, and if that data reflects historical biases or systemic inequalities, the resulting outputs may perpetuate or even amplify those biases. For example, predictive tools that rely on prior arbitral awards could inadvertently favor certain types of claimants or respondents, undermining the neutrality of the process. This raises questions about whether arbitrators should rely on such tools in making substantive decisions or whether their use should be limited to procedural efficiencies such as scheduling and case management. The ethical responsibility of arbitrators and counsel lies in ensuring that AI tools are used transparently, that their limitations are acknowledged, and that </w:t>
      </w:r>
      <w:r>
        <w:rPr>
          <w:rFonts w:asciiTheme="majorBidi" w:eastAsia="Calibri" w:hAnsiTheme="majorBidi" w:cstheme="majorBidi"/>
          <w:color w:val="000000"/>
          <w:lang w:bidi="ar-AE"/>
        </w:rPr>
        <w:lastRenderedPageBreak/>
        <w:t>ultimate decision-making authority remains firmly in human hands. Without these safeguards, reliance on AI risks eroding trust in arbitration as a fair and impartial dispute resolution mechanism</w:t>
      </w:r>
      <w:r>
        <w:rPr>
          <w:rStyle w:val="FootnoteReference"/>
          <w:rFonts w:asciiTheme="majorBidi" w:eastAsia="Times New Roman" w:hAnsiTheme="majorBidi" w:cstheme="majorBidi"/>
          <w:color w:val="000000"/>
          <w:lang w:bidi="ar-AE"/>
        </w:rPr>
        <w:footnoteReference w:id="360"/>
      </w:r>
      <w:r>
        <w:rPr>
          <w:rFonts w:asciiTheme="majorBidi" w:eastAsia="Calibri" w:hAnsiTheme="majorBidi" w:cstheme="majorBidi"/>
          <w:color w:val="000000"/>
          <w:lang w:bidi="ar-AE"/>
        </w:rPr>
        <w:t>.</w:t>
      </w:r>
    </w:p>
    <w:p w14:paraId="4D478FA2"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Confidentiality also takes on new dimensions when AI tools are employed in arbitration. Many AI systems rely on cloud-based storage and processing, meaning that sensitive case data may be transmitted across borders or stored on servers controlled by third-party providers. This creates risks of unauthorised access, data breaches, or misuse of confidential information. For example, in cases involving trade secrets or proprietary technology, even inadvertent exposure of documents to AI training datasets could have catastrophic consequences for the parties. Ethical responsibility, therefore, demands that arbitrators and counsel carefully vet the technologies they employ, ensuring that data protection standards—such as encryption, anonymization, and compliance with frameworks like the General Data Protection Regulation (GDPR)—are rigorously applied. The duty to preserve confidentiality in arbitration cannot be outsourced to technology providers; it must be actively monitored and enforced by those responsible for the integrity of the proceedings</w:t>
      </w:r>
      <w:r>
        <w:rPr>
          <w:rStyle w:val="FootnoteReference"/>
          <w:rFonts w:asciiTheme="majorBidi" w:eastAsia="Calibri" w:hAnsiTheme="majorBidi" w:cstheme="majorBidi"/>
          <w:color w:val="000000"/>
          <w:lang w:bidi="ar-AE"/>
        </w:rPr>
        <w:footnoteReference w:id="361"/>
      </w:r>
      <w:r>
        <w:rPr>
          <w:rFonts w:asciiTheme="majorBidi" w:eastAsia="Calibri" w:hAnsiTheme="majorBidi" w:cstheme="majorBidi"/>
          <w:color w:val="000000"/>
          <w:lang w:bidi="ar-AE"/>
        </w:rPr>
        <w:t>.</w:t>
      </w:r>
    </w:p>
    <w:p w14:paraId="4D5E199C"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Another dimension of ethical responsibility concerns transparency in the use of technology. Parties must be informed if AI tools or digital systems are being used to process their data, and they must be allowed to challenge or question the reliability of those tools. This is consistent with the broader principle of procedural fairness, which requires that parties understand and consent to the methods by which their disputes are resolved. In practice, this </w:t>
      </w:r>
      <w:r>
        <w:rPr>
          <w:rFonts w:asciiTheme="majorBidi" w:eastAsia="Calibri" w:hAnsiTheme="majorBidi" w:cstheme="majorBidi"/>
          <w:color w:val="000000"/>
          <w:lang w:bidi="ar-AE"/>
        </w:rPr>
        <w:lastRenderedPageBreak/>
        <w:t>could involve disclosing the nature of AI tools used in document review or explaining the role of algorithms in case management systems. The ICCA–NYC Bar–CPR Working Group on Cybersecurity and the ABA Legal Technology Resource Centre both emphasize that transparency is a critical ethical obligation in digital dispute resolution. Arbitrators and institutions that fail to disclose the use of AI risk undermining the trust of the parties and opening awards to challenges on grounds of unfairness or lack of due process</w:t>
      </w:r>
      <w:r>
        <w:rPr>
          <w:rStyle w:val="FootnoteReference"/>
          <w:rFonts w:asciiTheme="majorBidi" w:eastAsia="Times New Roman" w:hAnsiTheme="majorBidi" w:cstheme="majorBidi"/>
          <w:color w:val="000000"/>
          <w:lang w:bidi="ar-AE"/>
        </w:rPr>
        <w:footnoteReference w:id="362"/>
      </w:r>
      <w:r>
        <w:rPr>
          <w:rFonts w:asciiTheme="majorBidi" w:eastAsia="Calibri" w:hAnsiTheme="majorBidi" w:cstheme="majorBidi"/>
          <w:color w:val="000000"/>
          <w:lang w:bidi="ar-AE"/>
        </w:rPr>
        <w:t>.</w:t>
      </w:r>
    </w:p>
    <w:p w14:paraId="2E0954C2"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Finally, the ethical use of technology in arbitration must be seen as an ongoing responsibility rather than a one-time compliance exercise. As technology evolves, so too must the ethical standards that govern its use. This requires continuous training for arbitrators, counsel, and institutional staff, ensuring they remain aware of both the opportunities and risks posed by emerging digital tools. It also demands collaboration among arbitral institutions, professional associations, and legislators to develop guidelines that strike a balance between innovation and ethical responsibility. For example, the ABA Cybersecurity Task Force and the ICCA–IBA Roadmap on Data Protection represent important steps toward harmonizing global standards, but more comprehensive frameworks are needed to address the unique challenges of AI in arbitration. Ultimately, the ethical use of technology and AI in arbitration is not about resisting innovation but about ensuring that innovation serves the principles of fairness, confidentiality, and integrity upon which arbitration is built</w:t>
      </w:r>
      <w:r>
        <w:rPr>
          <w:rStyle w:val="FootnoteReference"/>
          <w:rFonts w:asciiTheme="majorBidi" w:eastAsia="Times New Roman" w:hAnsiTheme="majorBidi" w:cstheme="majorBidi"/>
          <w:color w:val="000000"/>
          <w:lang w:bidi="ar-AE"/>
        </w:rPr>
        <w:footnoteReference w:id="363"/>
      </w:r>
      <w:r>
        <w:rPr>
          <w:rFonts w:asciiTheme="majorBidi" w:eastAsia="Calibri" w:hAnsiTheme="majorBidi" w:cstheme="majorBidi"/>
          <w:color w:val="000000"/>
          <w:lang w:bidi="ar-AE"/>
        </w:rPr>
        <w:t>.</w:t>
      </w:r>
    </w:p>
    <w:p w14:paraId="37055D36" w14:textId="77777777" w:rsidR="00F073C0" w:rsidRPr="008819FD" w:rsidRDefault="002A0878" w:rsidP="009F5ACD">
      <w:pPr>
        <w:pStyle w:val="Heading3"/>
        <w:rPr>
          <w:rFonts w:asciiTheme="majorBidi" w:hAnsiTheme="majorBidi" w:cstheme="majorBidi"/>
          <w:lang w:bidi="ar-AE"/>
        </w:rPr>
      </w:pPr>
      <w:bookmarkStart w:id="198" w:name="_Toc209626961"/>
      <w:bookmarkStart w:id="199" w:name="_Toc217491598"/>
      <w:bookmarkStart w:id="200" w:name="_Toc221804545"/>
      <w:r>
        <w:rPr>
          <w:rFonts w:asciiTheme="majorBidi" w:eastAsia="Times New Roman" w:hAnsiTheme="majorBidi" w:cstheme="majorBidi"/>
          <w:lang w:bidi="ar-AE"/>
        </w:rPr>
        <w:lastRenderedPageBreak/>
        <w:t xml:space="preserve">4.3.4 </w:t>
      </w:r>
      <w:r>
        <w:rPr>
          <w:rFonts w:asciiTheme="majorBidi" w:hAnsiTheme="majorBidi" w:cstheme="majorBidi"/>
          <w:lang w:bidi="ar-AE"/>
        </w:rPr>
        <w:t>Conflicts of Interest in Digital Proceedings</w:t>
      </w:r>
      <w:bookmarkEnd w:id="198"/>
      <w:bookmarkEnd w:id="199"/>
      <w:bookmarkEnd w:id="200"/>
    </w:p>
    <w:p w14:paraId="63D5A613"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Conflicts of interest are a persistent concern in arbitration, but the rise of digital proceedings has introduced new and complex dimensions to this issue. Traditionally, conflicts of interest centreed on relationships between arbitrators, counsel, and parties, such as prior professional engagements or financial interests that could compromise impartiality. In the online arbitration environment, however, conflicts may also arise from the technological tools and platforms used to conduct proceedings. For example, if an arbitral institution partners with a particular technology provider for virtual hearings or digital case management, questions may be raised about whether this relationship could influence the neutrality of proceedings, particularly if one party has closer access or influence over the technology vendor. These emerging conflicts challenge the existing disclosure framework and highlight the need for updated ethical standards that address the realities of online arbitration</w:t>
      </w:r>
      <w:r>
        <w:rPr>
          <w:rStyle w:val="FootnoteReference"/>
          <w:rFonts w:asciiTheme="majorBidi" w:eastAsia="Times New Roman" w:hAnsiTheme="majorBidi" w:cstheme="majorBidi"/>
          <w:color w:val="000000"/>
          <w:lang w:bidi="ar-AE"/>
        </w:rPr>
        <w:footnoteReference w:id="364"/>
      </w:r>
      <w:r>
        <w:rPr>
          <w:rFonts w:asciiTheme="majorBidi" w:eastAsia="Calibri" w:hAnsiTheme="majorBidi" w:cstheme="majorBidi"/>
          <w:color w:val="000000"/>
          <w:lang w:bidi="ar-AE"/>
        </w:rPr>
        <w:t>.</w:t>
      </w:r>
    </w:p>
    <w:p w14:paraId="16510F5B"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One key source of potential conflict lies in the reliance on third-party technology providers. Virtual hearing platforms, cloud storage services, and AI-based document review tools are often provided by private companies that may have commercial relationships with one or more parties involved in arbitration. If a party has pre-existing ties to the technology provider—for instance, through corporate ownership, licensing agreements, or consultancy arrangements—this could create the perception of bias or undue influence. Even if no actual conflict exists, the appearance of one can undermine confidence in the arbitral process, particularly given arbitration’s reliance on party trust. This situation underscores the </w:t>
      </w:r>
      <w:r>
        <w:rPr>
          <w:rFonts w:asciiTheme="majorBidi" w:eastAsia="Calibri" w:hAnsiTheme="majorBidi" w:cstheme="majorBidi"/>
          <w:color w:val="000000"/>
          <w:lang w:bidi="ar-AE"/>
        </w:rPr>
        <w:lastRenderedPageBreak/>
        <w:t>importance of arbitrators and institutions conducting due diligence on technology providers and disclosing any known affiliations that could raise concerns of impartiality.</w:t>
      </w:r>
    </w:p>
    <w:p w14:paraId="3EC6D17A"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digital environment also complicates the identification and disclosure of conflicts of interest. In traditional settings, arbitrators are expected to disclose professional, financial, or personal relationships that may give rise to doubts about impartiality. In online arbitration, however, conflicts may arise in less obvious ways. For instance, arbitrators or counsel may have prior experience using certain platforms or software providers, leading to an implicit preference that might advantage one party over another. Similarly, if an arbitrator is part of professional committees or advisory boards for technology firms that provide services in arbitration, this could create a conflict of interest that might not fall under conventional disclosure categories. This evolving landscape highlights the need for updated disclosure practices that account for digital affiliations and technological dependencies</w:t>
      </w:r>
      <w:r>
        <w:rPr>
          <w:rStyle w:val="FootnoteReference"/>
          <w:rFonts w:asciiTheme="majorBidi" w:eastAsia="Times New Roman" w:hAnsiTheme="majorBidi" w:cstheme="majorBidi"/>
          <w:color w:val="000000"/>
          <w:lang w:bidi="ar-AE"/>
        </w:rPr>
        <w:footnoteReference w:id="365"/>
      </w:r>
      <w:r>
        <w:rPr>
          <w:rFonts w:asciiTheme="majorBidi" w:eastAsia="Calibri" w:hAnsiTheme="majorBidi" w:cstheme="majorBidi"/>
          <w:color w:val="000000"/>
          <w:lang w:bidi="ar-AE"/>
        </w:rPr>
        <w:t>.</w:t>
      </w:r>
    </w:p>
    <w:p w14:paraId="6C5F10BB"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Another dimension of conflict in digital proceedings concerns the handling of confidential data. Technology providers, even when contracted by arbitral institutions, may inadvertently gain access to sensitive information exchanged during arbitration. If such providers are also engaged by one of the parties in unrelated matters, questions could arise about data security and potential misuse. This scenario is particularly sensitive in disputes involving trade secrets or intellectual property, where even indirect access to confidential information can create competitive disadvantages. Arbitral institutions must therefore establish clear contractual safeguards with technology providers, ensuring that confidentiality obligations extend to all service providers and that breaches are subject to enforceable </w:t>
      </w:r>
      <w:r>
        <w:rPr>
          <w:rFonts w:asciiTheme="majorBidi" w:eastAsia="Calibri" w:hAnsiTheme="majorBidi" w:cstheme="majorBidi"/>
          <w:color w:val="000000"/>
          <w:lang w:bidi="ar-AE"/>
        </w:rPr>
        <w:lastRenderedPageBreak/>
        <w:t>remedies. This contractual approach mirrors the broader push in international arbitration toward recognizing cybersecurity and data protection as shared responsibilities among all participants, not just arbitrators and counsel.</w:t>
      </w:r>
    </w:p>
    <w:p w14:paraId="1611C6DA"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Addressing conflicts of interest in digital arbitration requires a proactive and systemic approach. Institutions such as the ICCA–NYC Bar–CPR Cybersecurity Protocol (2020) and the ABA’s guidelines on virtual practice emphasize the importance of updating disclosure obligations to reflect digital realities. This includes requiring arbitrators to disclose any relationships with technology providers, ensuring that institutions remain transparent about their vendor choices, and adopting neutral platforms that do not give one party undue influence. In the UAE context, arbitral centre s such as DIAC and ADGM are well-positioned to set regional benchmarks by incorporating digital conflict disclosure rules into their institutional frameworks. By doing so, they would not only safeguard party trust but also demonstrate leadership in adapting arbitration to the challenges of the digital age. Ultimately, preventing and managing conflicts of interest in online arbitration is essential for maintaining the legitimacy of proceedings and ensuring that confidentiality and impartiality remain cornerstones of the arbitral process</w:t>
      </w:r>
      <w:r>
        <w:rPr>
          <w:rStyle w:val="FootnoteReference"/>
          <w:rFonts w:asciiTheme="majorBidi" w:eastAsia="Times New Roman" w:hAnsiTheme="majorBidi" w:cstheme="majorBidi"/>
          <w:color w:val="000000"/>
          <w:lang w:bidi="ar-AE"/>
        </w:rPr>
        <w:footnoteReference w:id="366"/>
      </w:r>
      <w:r>
        <w:rPr>
          <w:rFonts w:asciiTheme="majorBidi" w:eastAsia="Calibri" w:hAnsiTheme="majorBidi" w:cstheme="majorBidi"/>
          <w:color w:val="000000"/>
          <w:lang w:bidi="ar-AE"/>
        </w:rPr>
        <w:t>.</w:t>
      </w:r>
    </w:p>
    <w:p w14:paraId="430668D8" w14:textId="77777777" w:rsidR="00F073C0" w:rsidRPr="008819FD" w:rsidRDefault="00F073C0" w:rsidP="009F5ACD">
      <w:pPr>
        <w:pStyle w:val="Heading3"/>
        <w:rPr>
          <w:rFonts w:asciiTheme="majorBidi" w:hAnsiTheme="majorBidi" w:cstheme="majorBidi"/>
          <w:lang w:bidi="ar-AE"/>
        </w:rPr>
      </w:pPr>
      <w:bookmarkStart w:id="201" w:name="_Toc209626962"/>
      <w:bookmarkStart w:id="202" w:name="_Toc217491599"/>
      <w:r>
        <w:rPr>
          <w:rFonts w:asciiTheme="majorBidi" w:hAnsiTheme="majorBidi" w:cstheme="majorBidi"/>
          <w:lang w:bidi="ar-AE"/>
        </w:rPr>
        <w:t xml:space="preserve"> </w:t>
      </w:r>
      <w:bookmarkStart w:id="203" w:name="_Toc221804546"/>
      <w:r>
        <w:rPr>
          <w:rFonts w:asciiTheme="majorBidi" w:eastAsia="Times New Roman" w:hAnsiTheme="majorBidi" w:cstheme="majorBidi"/>
          <w:lang w:bidi="ar-AE"/>
        </w:rPr>
        <w:t xml:space="preserve">4.3.5 </w:t>
      </w:r>
      <w:r>
        <w:rPr>
          <w:rFonts w:asciiTheme="majorBidi" w:hAnsiTheme="majorBidi" w:cstheme="majorBidi"/>
          <w:lang w:bidi="ar-AE"/>
        </w:rPr>
        <w:t>Professional Responsibility and Cybersecurity Competence</w:t>
      </w:r>
      <w:bookmarkEnd w:id="201"/>
      <w:bookmarkEnd w:id="202"/>
      <w:bookmarkEnd w:id="203"/>
    </w:p>
    <w:p w14:paraId="67F10387"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increasing digitalization of arbitration has expanded the scope of professional responsibility for arbitrators, counsel, and arbitral institutions. In the past, the ethical obligations of practitioners in arbitration were largely focused on impartiality, diligence, and confidentiality. Today, however, these responsibilities extend to a new dimension: </w:t>
      </w:r>
      <w:r>
        <w:rPr>
          <w:rFonts w:asciiTheme="majorBidi" w:eastAsia="Calibri" w:hAnsiTheme="majorBidi" w:cstheme="majorBidi"/>
          <w:color w:val="000000"/>
          <w:lang w:bidi="ar-AE"/>
        </w:rPr>
        <w:lastRenderedPageBreak/>
        <w:t>technological and cybersecurity competence. Practitioners are no longer evaluated solely on their legal expertise but are also expected to demonstrate an adequate understanding of the digital tools and risks inherent in online arbitration. This shift reflects a broader transformation in the legal profession, where competence is increasingly defined by the ability to integrate technological awareness with traditional legal skills. Without such competence, the protection of sensitive data, the fairness of proceedings, and the enforceability of arbitral awards could all be jeopardized.</w:t>
      </w:r>
      <w:r>
        <w:rPr>
          <w:rStyle w:val="FootnoteReference"/>
          <w:rFonts w:asciiTheme="majorBidi" w:eastAsia="Times New Roman" w:hAnsiTheme="majorBidi" w:cstheme="majorBidi"/>
          <w:color w:val="000000"/>
          <w:lang w:bidi="ar-AE"/>
        </w:rPr>
        <w:footnoteReference w:id="367"/>
      </w:r>
      <w:r>
        <w:rPr>
          <w:rFonts w:asciiTheme="majorBidi" w:eastAsia="Calibri" w:hAnsiTheme="majorBidi" w:cstheme="majorBidi"/>
          <w:color w:val="000000"/>
          <w:lang w:bidi="ar-AE"/>
        </w:rPr>
        <w:t>.</w:t>
      </w:r>
    </w:p>
    <w:p w14:paraId="242142D0"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For arbitrators, professional responsibility in the digital age requires not only impartiality but also active oversight of the technological systems used during proceedings. Arbitrators must ensure that hearings are conducted on secure platforms, that communication channels are encrypted, and that parties comply with agreed cybersecurity protocols. Failure to address these issues could expose arbitrators to criticism, challenges to awards, or even liability in extreme cases where data breaches compromise the confidentiality of proceedings. Some institutions, such as the ICDR and LCIA, have introduced practice notes reminding arbitrators of their responsibilities in relation to cybersecurity, but enforcement largely depends on the arbitrators themselves. This reality underscores the need for ongoing training and guidance to ensure that arbitrators can navigate the increasingly complex technological landscape of online arbitration.</w:t>
      </w:r>
    </w:p>
    <w:p w14:paraId="2B0CE734"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Counsel, too, bear heightened ethical obligations to maintain cybersecurity competence. As primary custodians of client information, lawyers must ensure that sensitive data—including pleadings, evidence, and communications—is stored and transmitted </w:t>
      </w:r>
      <w:r>
        <w:rPr>
          <w:rFonts w:asciiTheme="majorBidi" w:eastAsia="Calibri" w:hAnsiTheme="majorBidi" w:cstheme="majorBidi"/>
          <w:color w:val="000000"/>
          <w:lang w:bidi="ar-AE"/>
        </w:rPr>
        <w:lastRenderedPageBreak/>
        <w:t>securely. The American Bar Association (ABA) Formal Opinion 498 (2021) explicitly states that lawyers engaged in virtual practice must understand the risks associated with digital technologies and take reasonable steps to mitigate them. In arbitration, this translates into obligations such as using secure email systems, employing two-factor authentication for client portals, and advising clients about the risks of online hearings. A failure to adopt these measures could not only compromise confidentiality but also constitute a breach of professional responsibility. This expansion of duties reflects the growing recognition that digital incompetence is no longer excusable in modern legal practice, particularly in fields such as arbitration, where confidentiality is paramount.</w:t>
      </w:r>
      <w:r>
        <w:rPr>
          <w:rStyle w:val="FootnoteReference"/>
          <w:rFonts w:asciiTheme="majorBidi" w:eastAsia="Times New Roman" w:hAnsiTheme="majorBidi" w:cstheme="majorBidi"/>
          <w:color w:val="000000"/>
          <w:lang w:bidi="ar-AE"/>
        </w:rPr>
        <w:footnoteReference w:id="368"/>
      </w:r>
      <w:r>
        <w:rPr>
          <w:rFonts w:asciiTheme="majorBidi" w:eastAsia="Calibri" w:hAnsiTheme="majorBidi" w:cstheme="majorBidi"/>
          <w:color w:val="000000"/>
          <w:lang w:bidi="ar-AE"/>
        </w:rPr>
        <w:t>.</w:t>
      </w:r>
    </w:p>
    <w:p w14:paraId="290E6DDD"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Arbitral institutions also share responsibility for ensuring that proceedings meet cybersecurity standards. Institutions such as the ICC and AAA–ICDR have issued cybersecurity guidelines, including checklists and best practice guides, designed to provide arbitrators and counsel with practical tools for safeguarding data. By embedding these standards into their rules or administrative practices, institutions create a baseline of competence that all participants must meet. In the UAE, institutions like DIAC and ADGM have introduced digital filing systems and virtual hearing protocols, but the extent to which they mandate cybersecurity competence among arbitrators and counsel remains limited. The challenge lies in translating general ethical obligations into concrete requirements, such as mandatory training sessions, certification in cybersecurity practices, or institutional audits of digital readiness. By adopting such measures, institutions can ensure that cybersecurity </w:t>
      </w:r>
      <w:r>
        <w:rPr>
          <w:rFonts w:asciiTheme="majorBidi" w:eastAsia="Calibri" w:hAnsiTheme="majorBidi" w:cstheme="majorBidi"/>
          <w:color w:val="000000"/>
          <w:lang w:bidi="ar-AE"/>
        </w:rPr>
        <w:lastRenderedPageBreak/>
        <w:t>competence is not merely an aspirational ideal, but a professional standard enforced in practice</w:t>
      </w:r>
      <w:r>
        <w:rPr>
          <w:rStyle w:val="FootnoteReference"/>
          <w:rFonts w:asciiTheme="majorBidi" w:eastAsia="Times New Roman" w:hAnsiTheme="majorBidi" w:cstheme="majorBidi"/>
          <w:color w:val="000000"/>
          <w:lang w:bidi="ar-AE"/>
        </w:rPr>
        <w:footnoteReference w:id="369"/>
      </w:r>
      <w:r>
        <w:rPr>
          <w:rFonts w:asciiTheme="majorBidi" w:eastAsia="Calibri" w:hAnsiTheme="majorBidi" w:cstheme="majorBidi"/>
          <w:color w:val="000000"/>
          <w:lang w:bidi="ar-AE"/>
        </w:rPr>
        <w:t>.</w:t>
      </w:r>
    </w:p>
    <w:p w14:paraId="29998510"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expansion of professional responsibility into the domain of cybersecurity reflects a broader ethical evolution in arbitration. As Westgaver (2017) argues, cybersecurity in arbitration is both a necessity and an opportunity: a necessity because the risks of data breaches are real and potentially catastrophic, and an opportunity because institutions and practitioners who adopt best practices can distinguish themselves as leaders in the field. Professional responsibility in this context is not static; it demands continuous adaptation to evolving threats, new technologies, and shifting regulatory frameworks such as the GDPR or the UAE Data Protection Law (2021). Ultimately, cybersecurity competence is no longer an optional skill for arbitration practitioners; it is a core component of ethical practice, critical to preserving party trust, protecting sensitive information, and maintaining arbitration’s legitimacy as a confidential and reliable method of dispute resolution</w:t>
      </w:r>
    </w:p>
    <w:p w14:paraId="01927F1F" w14:textId="77777777" w:rsidR="00F073C0" w:rsidRPr="008819FD" w:rsidRDefault="00F073C0" w:rsidP="00663759">
      <w:pPr>
        <w:pStyle w:val="Heading2"/>
        <w:rPr>
          <w:rFonts w:asciiTheme="majorBidi" w:hAnsiTheme="majorBidi" w:cstheme="majorBidi"/>
          <w:sz w:val="24"/>
          <w:szCs w:val="24"/>
          <w:lang w:bidi="ar-AE"/>
        </w:rPr>
      </w:pPr>
      <w:bookmarkStart w:id="204" w:name="_Toc209626963"/>
      <w:bookmarkStart w:id="205" w:name="_Toc217491600"/>
      <w:r>
        <w:rPr>
          <w:rFonts w:asciiTheme="majorBidi" w:hAnsiTheme="majorBidi" w:cstheme="majorBidi"/>
          <w:sz w:val="24"/>
          <w:szCs w:val="24"/>
          <w:lang w:bidi="ar-AE"/>
        </w:rPr>
        <w:t xml:space="preserve"> </w:t>
      </w:r>
      <w:bookmarkStart w:id="206" w:name="_Toc221804547"/>
      <w:r>
        <w:rPr>
          <w:rFonts w:asciiTheme="majorBidi" w:hAnsiTheme="majorBidi" w:cstheme="majorBidi"/>
          <w:sz w:val="24"/>
          <w:szCs w:val="24"/>
          <w:lang w:bidi="ar-AE"/>
        </w:rPr>
        <w:t>Data Protection Frameworks in International Arbitration</w:t>
      </w:r>
      <w:bookmarkEnd w:id="204"/>
      <w:bookmarkEnd w:id="205"/>
      <w:bookmarkEnd w:id="206"/>
    </w:p>
    <w:p w14:paraId="6C23869A" w14:textId="77777777" w:rsidR="00F073C0" w:rsidRPr="008819FD" w:rsidRDefault="00752CD5" w:rsidP="009F5ACD">
      <w:pPr>
        <w:pStyle w:val="Heading3"/>
        <w:rPr>
          <w:rFonts w:asciiTheme="majorBidi" w:hAnsiTheme="majorBidi" w:cstheme="majorBidi"/>
          <w:lang w:bidi="ar-AE"/>
        </w:rPr>
      </w:pPr>
      <w:bookmarkStart w:id="207" w:name="_Toc209626964"/>
      <w:bookmarkStart w:id="208" w:name="_Toc217491601"/>
      <w:bookmarkStart w:id="209" w:name="_Toc221804548"/>
      <w:r>
        <w:rPr>
          <w:rFonts w:asciiTheme="majorBidi" w:eastAsia="Times New Roman" w:hAnsiTheme="majorBidi" w:cstheme="majorBidi"/>
          <w:lang w:bidi="ar-AE"/>
        </w:rPr>
        <w:t xml:space="preserve">4.4.1 </w:t>
      </w:r>
      <w:r>
        <w:rPr>
          <w:rFonts w:asciiTheme="majorBidi" w:hAnsiTheme="majorBidi" w:cstheme="majorBidi"/>
          <w:lang w:bidi="ar-AE"/>
        </w:rPr>
        <w:t>The European Union General Data Protection Regulation (GDPR)</w:t>
      </w:r>
      <w:bookmarkEnd w:id="207"/>
      <w:bookmarkEnd w:id="208"/>
      <w:bookmarkEnd w:id="209"/>
    </w:p>
    <w:p w14:paraId="29EFA095"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General Data Protection Regulation (GDPR), which came into effect in May 2018, represents the most comprehensive legal framework for data protection worldwide and has significant implications for online arbitration. GDPR establishes strict principles governing the collection, processing, and transfer of personal data, including requirements for lawfulness, fairness, transparency, data minimization, purpose limitation, and accountability. In the </w:t>
      </w:r>
      <w:r>
        <w:rPr>
          <w:rFonts w:asciiTheme="majorBidi" w:eastAsia="Calibri" w:hAnsiTheme="majorBidi" w:cstheme="majorBidi"/>
          <w:color w:val="000000"/>
          <w:lang w:bidi="ar-AE"/>
        </w:rPr>
        <w:lastRenderedPageBreak/>
        <w:t>context of arbitration, these principles directly impact how arbitral institutions, tribunals, and counsel handle sensitive personal and commercial information. For example, the exchange of pleadings, evidence, and witness statements almost always involves processing personal data such as names, addresses, financial records, or even health-related information. Under GDPR, such processing must have a clear legal basis, whether it be contractual necessity, consent of the parties, or legitimate interest. This imposes obligations on arbitral actors to justify their data practices, ensure compliance with privacy rights, and maintain robust safeguards against unauthorised disclosures</w:t>
      </w:r>
      <w:r>
        <w:rPr>
          <w:rStyle w:val="FootnoteReference"/>
          <w:rFonts w:asciiTheme="majorBidi" w:eastAsia="Times New Roman" w:hAnsiTheme="majorBidi" w:cstheme="majorBidi"/>
          <w:color w:val="000000"/>
          <w:lang w:bidi="ar-AE"/>
        </w:rPr>
        <w:footnoteReference w:id="370"/>
      </w:r>
      <w:r>
        <w:rPr>
          <w:rFonts w:asciiTheme="majorBidi" w:eastAsia="Calibri" w:hAnsiTheme="majorBidi" w:cstheme="majorBidi"/>
          <w:color w:val="000000"/>
          <w:lang w:bidi="ar-AE"/>
        </w:rPr>
        <w:t>.</w:t>
      </w:r>
    </w:p>
    <w:p w14:paraId="68F04307"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One of the most relevant aspects of GDPR for arbitration is its extraterritorial reach. The regulation applies not only to organisations established within the European Union but also to entities outside the EU that process the personal data of EU residents in connection with offering services or monitoring behavior. This means that arbitral institutions in jurisdictions such as the UAE may be subject to GDPR obligations when handling cases involving European parties. For example, if a French claimant initiates arbitration against a UAE respondent under the auspices of DIAC, and personal data of EU citizens is processed during proceedings, DIAC may be required to comply with GDPR standards, including appointing a data protection officer (DPO), implementing data processing agreements, and ensuring lawful cross-border data transfers. This extraterritorial application underscores the global influence of GDPR and its relevance even to arbitral institutions operating far outside Europe</w:t>
      </w:r>
      <w:r>
        <w:rPr>
          <w:rStyle w:val="FootnoteReference"/>
          <w:rFonts w:asciiTheme="majorBidi" w:eastAsia="Times New Roman" w:hAnsiTheme="majorBidi" w:cstheme="majorBidi"/>
          <w:color w:val="000000"/>
          <w:lang w:bidi="ar-AE"/>
        </w:rPr>
        <w:footnoteReference w:id="371"/>
      </w:r>
      <w:r>
        <w:rPr>
          <w:rFonts w:asciiTheme="majorBidi" w:eastAsia="Calibri" w:hAnsiTheme="majorBidi" w:cstheme="majorBidi"/>
          <w:color w:val="000000"/>
          <w:lang w:bidi="ar-AE"/>
        </w:rPr>
        <w:t>.</w:t>
      </w:r>
    </w:p>
    <w:p w14:paraId="644847A5"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Another critical feature of GDPR is the heightened protection for sensitive categories of data, including biometric, health, and financial information, all of which may arise in arbitration. For instance, in employment or commercial disputes, evidence may include payroll data, medical certificates, or biometric records used for authentication in digital hearings. GDPR requires that such data be processed only under strict conditions and with additional safeguards, such as explicit consent or compliance with legal obligations. Failure to respect these requirements exposes institutions and parties to significant penalties, including fines of up to 20 million euros or 4% of global annual turnover, whichever is higher. For arbitration, this raises important questions about institutional liability: if a data breach occurs during a virtual hearing due to inadequate security, who bears responsibility for GDPR compliance—the arbitral institution, the tribunal, or the technology provider? These unresolved questions highlight the complexity of applying GDPR to multiparty arbitral proceedings</w:t>
      </w:r>
      <w:r>
        <w:rPr>
          <w:rStyle w:val="FootnoteReference"/>
          <w:rFonts w:asciiTheme="majorBidi" w:eastAsia="Times New Roman" w:hAnsiTheme="majorBidi" w:cstheme="majorBidi"/>
          <w:color w:val="000000"/>
          <w:lang w:bidi="ar-AE"/>
        </w:rPr>
        <w:footnoteReference w:id="372"/>
      </w:r>
      <w:r>
        <w:rPr>
          <w:rFonts w:asciiTheme="majorBidi" w:eastAsia="Calibri" w:hAnsiTheme="majorBidi" w:cstheme="majorBidi"/>
          <w:color w:val="000000"/>
          <w:lang w:bidi="ar-AE"/>
        </w:rPr>
        <w:t>.</w:t>
      </w:r>
    </w:p>
    <w:p w14:paraId="43F1788E"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GDPR also imposes strict rules on cross-border data transfers, which are particularly relevant in international arbitration where parties, arbitrators, and institutions are often located in different jurisdictions. Transfers of personal data from the EU to non-EU countries are permitted only where adequate safeguards are in place, such as adequacy decisions, standard contractual clauses, or binding corporate rules. In arbitration, this creates potential complications when evidence or case materials must be shared with participants located in jurisdictions without recognized adequacy standards, such as certain Middle Eastern or Asian countries. Unless proper transfer mechanisms are established, such data exchanges could breach GDPR requirements, exposing arbitral actors to liability. For UAE institutions aspiring </w:t>
      </w:r>
      <w:r>
        <w:rPr>
          <w:rFonts w:asciiTheme="majorBidi" w:eastAsia="Calibri" w:hAnsiTheme="majorBidi" w:cstheme="majorBidi"/>
          <w:color w:val="000000"/>
          <w:lang w:bidi="ar-AE"/>
        </w:rPr>
        <w:lastRenderedPageBreak/>
        <w:t>to attract global arbitration cases, this highlights the need to align their digital infrastructure and protocols with GDPR-compliant standards, thereby ensuring that EU parties can confidently engage in proceedings without fear of regulatory violations</w:t>
      </w:r>
      <w:r>
        <w:rPr>
          <w:rStyle w:val="FootnoteReference"/>
          <w:rFonts w:asciiTheme="majorBidi" w:eastAsia="Times New Roman" w:hAnsiTheme="majorBidi" w:cstheme="majorBidi"/>
          <w:color w:val="000000"/>
          <w:lang w:bidi="ar-AE"/>
        </w:rPr>
        <w:footnoteReference w:id="373"/>
      </w:r>
      <w:r>
        <w:rPr>
          <w:rFonts w:asciiTheme="majorBidi" w:eastAsia="Calibri" w:hAnsiTheme="majorBidi" w:cstheme="majorBidi"/>
          <w:color w:val="000000"/>
          <w:lang w:bidi="ar-AE"/>
        </w:rPr>
        <w:t>.</w:t>
      </w:r>
    </w:p>
    <w:p w14:paraId="21AAC3D8"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Finally, GDPR reinforces the importance of data subject rights—such as the right to access, rectification, erasure (“right to be forgotten”), and objection—which raise novel questions in the arbitral context. For instance, if a witness or party requests deletion of personal data submitted during arbitration, how should this be balanced against the need to preserve the arbitral record or enforceability of the award? Similarly, GDPR’s requirement for data breach notifications within 72 hours creates new procedural obligations for arbitral institutions, potentially disrupting proceedings if compliance is not properly managed. These tensions illustrate the challenge of reconciling GDPR’s broad data protection mandates with arbitration’s principles of confidentiality and finality. Nevertheless, GDPR provides a valuable benchmark for protecting privacy in online arbitration, and its influence is likely to shape the development of data protection standards globally. For arbitral institutions in the UAE and beyond, adopting GDPR-inspired practices can serve both as a compliance measure and as a signal of their commitment to best practices in cybersecurity and data protection</w:t>
      </w:r>
      <w:r>
        <w:rPr>
          <w:rStyle w:val="FootnoteReference"/>
          <w:rFonts w:asciiTheme="majorBidi" w:eastAsia="Times New Roman" w:hAnsiTheme="majorBidi" w:cstheme="majorBidi"/>
          <w:color w:val="000000"/>
          <w:lang w:bidi="ar-AE"/>
        </w:rPr>
        <w:footnoteReference w:id="374"/>
      </w:r>
      <w:r>
        <w:rPr>
          <w:rFonts w:asciiTheme="majorBidi" w:eastAsia="Calibri" w:hAnsiTheme="majorBidi" w:cstheme="majorBidi"/>
          <w:color w:val="000000"/>
          <w:lang w:bidi="ar-AE"/>
        </w:rPr>
        <w:t>.</w:t>
      </w:r>
    </w:p>
    <w:p w14:paraId="2F27EA4B" w14:textId="77777777" w:rsidR="00F073C0" w:rsidRPr="008819FD" w:rsidRDefault="00752CD5" w:rsidP="009F5ACD">
      <w:pPr>
        <w:pStyle w:val="Heading3"/>
        <w:rPr>
          <w:rFonts w:asciiTheme="majorBidi" w:hAnsiTheme="majorBidi" w:cstheme="majorBidi"/>
          <w:lang w:bidi="ar-AE"/>
        </w:rPr>
      </w:pPr>
      <w:bookmarkStart w:id="210" w:name="_Toc209626965"/>
      <w:bookmarkStart w:id="211" w:name="_Toc217491602"/>
      <w:bookmarkStart w:id="212" w:name="_Toc221804549"/>
      <w:r>
        <w:rPr>
          <w:rFonts w:asciiTheme="majorBidi" w:eastAsia="Times New Roman" w:hAnsiTheme="majorBidi" w:cstheme="majorBidi"/>
          <w:lang w:bidi="ar-AE"/>
        </w:rPr>
        <w:t xml:space="preserve">4.4.2 </w:t>
      </w:r>
      <w:r>
        <w:rPr>
          <w:rFonts w:asciiTheme="majorBidi" w:hAnsiTheme="majorBidi" w:cstheme="majorBidi"/>
          <w:lang w:bidi="ar-AE"/>
        </w:rPr>
        <w:t>The ICCA–IBA Roadmap on Data Protection</w:t>
      </w:r>
      <w:bookmarkEnd w:id="210"/>
      <w:bookmarkEnd w:id="211"/>
      <w:bookmarkEnd w:id="212"/>
    </w:p>
    <w:p w14:paraId="29541B42"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ICCA–IBA Roadmap on Data Protection in International Arbitration, first launched in 2020 and later updated, was developed to address the growing tension between arbitration’s confidentiality principle and the stringent obligations imposed by data protection </w:t>
      </w:r>
      <w:r>
        <w:rPr>
          <w:rFonts w:asciiTheme="majorBidi" w:eastAsia="Calibri" w:hAnsiTheme="majorBidi" w:cstheme="majorBidi"/>
          <w:color w:val="000000"/>
          <w:lang w:bidi="ar-AE"/>
        </w:rPr>
        <w:lastRenderedPageBreak/>
        <w:t>laws such as the EU’s GDPR. Unlike binding legislation, the roadmap operates as a form of “soft law,” offering practical guidance rather than enforceable rules. Its aim is to help arbitral institutions, tribunals, and practitioners navigate the complex intersection of data protection regulations and arbitral procedure. The roadmap acknowledges that arbitration inherently involves the collection and processing of personal data ranging from the identities of parties and witnesses to sensitive commercial and financial information and seeks to harmonize practices across jurisdictions with varying legal standards. By framing data protection as an ethical and procedural responsibility of all participants, the roadmap represents one of the first collective efforts by the global arbitration community to develop common practices in this area</w:t>
      </w:r>
      <w:r>
        <w:rPr>
          <w:rStyle w:val="FootnoteReference"/>
          <w:rFonts w:asciiTheme="majorBidi" w:eastAsia="Times New Roman" w:hAnsiTheme="majorBidi" w:cstheme="majorBidi"/>
          <w:color w:val="000000"/>
          <w:lang w:bidi="ar-AE"/>
        </w:rPr>
        <w:footnoteReference w:id="375"/>
      </w:r>
      <w:r>
        <w:rPr>
          <w:rFonts w:asciiTheme="majorBidi" w:eastAsia="Calibri" w:hAnsiTheme="majorBidi" w:cstheme="majorBidi"/>
          <w:color w:val="000000"/>
          <w:lang w:bidi="ar-AE"/>
        </w:rPr>
        <w:t>.</w:t>
      </w:r>
    </w:p>
    <w:p w14:paraId="1AA68EEB"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 central feature of the ICCA–IBA Roadmap is its emphasis on roles and responsibilities in data protection. It provides detailed analysis of how arbitrators, institutions, and parties may be classified under data protection regimes, for example as “data controllers” or “data processors.” This classification has significant consequences, as it determines who bears responsibility for compliance obligations such as ensuring lawful processing, safeguarding data subject rights, and reporting breaches. In arbitral practice, however, these roles are not always clearly defined: an arbitral institution may act as a controller when administering a case, but a tribunal may also exercise control over how personal data is used in hearings. The roadmap advises participants to clearly allocate responsibilities at the outset of proceedings, ideally through data protection protocols or agreements incorporated into the </w:t>
      </w:r>
      <w:r>
        <w:rPr>
          <w:rFonts w:asciiTheme="majorBidi" w:eastAsia="Calibri" w:hAnsiTheme="majorBidi" w:cstheme="majorBidi"/>
          <w:color w:val="000000"/>
          <w:lang w:bidi="ar-AE"/>
        </w:rPr>
        <w:lastRenderedPageBreak/>
        <w:t>first procedural order. This guidance helps reduce uncertainty and ensures that all actors understand their obligations, minimizing the risk of inadvertent breaches</w:t>
      </w:r>
      <w:r>
        <w:rPr>
          <w:rStyle w:val="FootnoteReference"/>
          <w:rFonts w:asciiTheme="majorBidi" w:eastAsia="Times New Roman" w:hAnsiTheme="majorBidi" w:cstheme="majorBidi"/>
          <w:color w:val="000000"/>
          <w:lang w:bidi="ar-AE"/>
        </w:rPr>
        <w:footnoteReference w:id="376"/>
      </w:r>
      <w:r>
        <w:rPr>
          <w:rFonts w:asciiTheme="majorBidi" w:eastAsia="Calibri" w:hAnsiTheme="majorBidi" w:cstheme="majorBidi"/>
          <w:color w:val="000000"/>
          <w:lang w:bidi="ar-AE"/>
        </w:rPr>
        <w:t>.</w:t>
      </w:r>
    </w:p>
    <w:p w14:paraId="02C57BFB"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Another important contribution of the roadmap is its focus on practical tools and templates for data protection. It provides model data protection impact assessments (DPIAs), checklists for secure handling of personal data, and sample contractual clauses that parties and institutions can adapt to their proceedings. These resources are particularly valuable in arbitration, where participants often lack in-house expertise in data protection law. For instance, a tribunal might rely on the roadmap’s checklist to assess whether the virtual hearing platform it selects complies with encryption standards, or whether its document-sharing protocols respect GDPR’s data minimization principle. By offering concrete, user-friendly tools, the roadmap lowers the barriers to compliance and enables arbitration practitioners to integrate data protection into their everyday practice without excessive cost or complexity.</w:t>
      </w:r>
    </w:p>
    <w:p w14:paraId="6D31FEE8"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roadmap also underscores the importance of awareness and training within the arbitration community. Data protection obligations are dynamic, evolving in response to new technologies, court interpretations, and legislative reforms. The roadmap therefore encourages arbitral institutions and professional associations to provide training sessions, webinars, and continuing legal education programs on data protection. This emphasis reflects a recognition that compliance is not merely a technical task but a cultural shift in arbitration practice, requiring all participants—arbitrators, counsel, experts, and staff—to internalize privacy and cybersecurity principles. The roadmap further recommends that arbitral institutions adopt internal data protection officers (DPOs) or designate staff responsible for compliance, thereby </w:t>
      </w:r>
      <w:r>
        <w:rPr>
          <w:rFonts w:asciiTheme="majorBidi" w:eastAsia="Calibri" w:hAnsiTheme="majorBidi" w:cstheme="majorBidi"/>
          <w:color w:val="000000"/>
          <w:lang w:bidi="ar-AE"/>
        </w:rPr>
        <w:lastRenderedPageBreak/>
        <w:t>institutionalizing responsibility for data protection rather than leaving it to ad hoc decision-making by tribunals</w:t>
      </w:r>
      <w:r>
        <w:rPr>
          <w:rStyle w:val="FootnoteReference"/>
          <w:rFonts w:asciiTheme="majorBidi" w:eastAsia="Times New Roman" w:hAnsiTheme="majorBidi" w:cstheme="majorBidi"/>
          <w:color w:val="000000"/>
          <w:lang w:bidi="ar-AE"/>
        </w:rPr>
        <w:footnoteReference w:id="377"/>
      </w:r>
      <w:r>
        <w:rPr>
          <w:rFonts w:asciiTheme="majorBidi" w:eastAsia="Calibri" w:hAnsiTheme="majorBidi" w:cstheme="majorBidi"/>
          <w:color w:val="000000"/>
          <w:lang w:bidi="ar-AE"/>
        </w:rPr>
        <w:t>.</w:t>
      </w:r>
    </w:p>
    <w:p w14:paraId="320D095D"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Despite its strengths, the ICCA–IBA Roadmap also faces limitations that highlight the challenges of “soft law” instruments in arbitration. Because the Roadmap is non-binding, its adoption depends largely on the voluntary commitment of institutions and practitioners. While many leading institutions such as the ICC, LCIA, and SIAC have drawn inspiration from the roadmap, smaller regional centres may lack the resources or incentive to implement its recommendations. Furthermore, the Roadmap does not resolve conflicts of law when arbitration spans jurisdictions with divergent data protection regimes, such as GDPR in Europe versus less stringent frameworks in parts of Asia or the Middle East. Nonetheless, the Roadmap remains a vital contribution to the ongoing effort to align arbitration with modern data protection standards. For institutions in the UAE, incorporating the principles of the ICCA–IBA Roadmap into their procedural rules or practice notes could enhance their credibility as global arbitral hubs while also addressing the expectations of international parties accustomed to GDPR-level protections.</w:t>
      </w:r>
    </w:p>
    <w:p w14:paraId="392D01BD" w14:textId="77777777" w:rsidR="00F073C0" w:rsidRPr="008819FD" w:rsidRDefault="00752CD5" w:rsidP="009F5ACD">
      <w:pPr>
        <w:pStyle w:val="Heading3"/>
        <w:rPr>
          <w:rFonts w:asciiTheme="majorBidi" w:hAnsiTheme="majorBidi" w:cstheme="majorBidi"/>
          <w:lang w:bidi="ar-AE"/>
        </w:rPr>
      </w:pPr>
      <w:bookmarkStart w:id="213" w:name="_Toc209626966"/>
      <w:bookmarkStart w:id="214" w:name="_Toc217491603"/>
      <w:bookmarkStart w:id="215" w:name="_Toc221804550"/>
      <w:r>
        <w:rPr>
          <w:rFonts w:asciiTheme="majorBidi" w:eastAsia="Times New Roman" w:hAnsiTheme="majorBidi" w:cstheme="majorBidi"/>
          <w:lang w:bidi="ar-AE"/>
        </w:rPr>
        <w:t xml:space="preserve">4.4.3 </w:t>
      </w:r>
      <w:r>
        <w:rPr>
          <w:rFonts w:asciiTheme="majorBidi" w:hAnsiTheme="majorBidi" w:cstheme="majorBidi"/>
          <w:lang w:bidi="ar-AE"/>
        </w:rPr>
        <w:t>Data Protection Guidelines of Arbitral Institutions</w:t>
      </w:r>
      <w:bookmarkEnd w:id="213"/>
      <w:bookmarkEnd w:id="214"/>
      <w:bookmarkEnd w:id="215"/>
    </w:p>
    <w:p w14:paraId="0EA8780B"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Arbitral institutions across the globe have increasingly recognized that the protection of personal and commercial data is no longer a peripheral concern but a central feature of modern arbitration practice. With the rapid expansion of online arbitration, institutions are now expected to provide not only procedural rules but also robust frameworks for cybersecurity and data protection. This has led to the development of specific guidelines, </w:t>
      </w:r>
      <w:r>
        <w:rPr>
          <w:rFonts w:asciiTheme="majorBidi" w:eastAsia="Calibri" w:hAnsiTheme="majorBidi" w:cstheme="majorBidi"/>
          <w:color w:val="000000"/>
          <w:lang w:bidi="ar-AE"/>
        </w:rPr>
        <w:lastRenderedPageBreak/>
        <w:t>checklists, and best practice documents that supplement existing arbitration rules. Such instruments serve to operationalize abstract legal standards, like those set out in the GDPR or the ICCA–IBA Roadmap, by translating them into practical steps that arbitrators, counsel, and parties can implement in their day-to-day handling of arbitration. The growing body of institutional guidelines demonstrates the shift from a purely party-driven responsibility for confidentiality to a more collaborative and structured approach involving institutions as custodians of digital security</w:t>
      </w:r>
      <w:r>
        <w:rPr>
          <w:rStyle w:val="FootnoteReference"/>
          <w:rFonts w:asciiTheme="majorBidi" w:eastAsia="Times New Roman" w:hAnsiTheme="majorBidi" w:cstheme="majorBidi"/>
          <w:color w:val="000000"/>
          <w:lang w:bidi="ar-AE"/>
        </w:rPr>
        <w:footnoteReference w:id="378"/>
      </w:r>
      <w:r>
        <w:rPr>
          <w:rFonts w:asciiTheme="majorBidi" w:eastAsia="Calibri" w:hAnsiTheme="majorBidi" w:cstheme="majorBidi"/>
          <w:color w:val="000000"/>
          <w:lang w:bidi="ar-AE"/>
        </w:rPr>
        <w:t>.</w:t>
      </w:r>
    </w:p>
    <w:p w14:paraId="7012034D"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One of the most comprehensive efforts in this regard comes from the American Arbitration Association’s International Centre for Dispute Resolution (AAA–ICDR), which has published a Best Practices Guide for Maintaining Cybersecurity and Privacy as well as a Cybersecurity Checklist. These documents provide practical measures that parties and tribunals can adopt, such as encrypting communications, limiting access to sensitive documents, and conducting risk assessments. The ICDR also issued a Virtual Hearing Guide for Arbitrators and Parties, outlining protocols for secure online hearings, including authentication of participants, management of witness testimony, and protocols to prevent unauthorised recording. These guidelines collectively create a structured framework for addressing the full lifecycle of arbitration—from document submission and storage to hearings and award delivery—through the lens of data protection. By offering concrete, detailed recommendations, the AAA–ICDR has set a benchmark for other institutions in terms of proactive engagement with cybersecurity</w:t>
      </w:r>
      <w:r>
        <w:rPr>
          <w:rStyle w:val="FootnoteReference"/>
          <w:rFonts w:asciiTheme="majorBidi" w:eastAsia="Times New Roman" w:hAnsiTheme="majorBidi" w:cstheme="majorBidi"/>
          <w:color w:val="000000"/>
          <w:lang w:bidi="ar-AE"/>
        </w:rPr>
        <w:footnoteReference w:id="379"/>
      </w:r>
      <w:r>
        <w:rPr>
          <w:rFonts w:asciiTheme="majorBidi" w:eastAsia="Calibri" w:hAnsiTheme="majorBidi" w:cstheme="majorBidi"/>
          <w:color w:val="000000"/>
          <w:lang w:bidi="ar-AE"/>
        </w:rPr>
        <w:t>.</w:t>
      </w:r>
    </w:p>
    <w:p w14:paraId="7E15A1D9"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European institutions have likewise taken steps to incorporate data protection principles into their frameworks. The International Chamber of Commerce (ICC) has published its 2021 Report on Leveraging Technology for Fair, Effective and Efficient International Arbitration Proceedings, which highlights data protection as an essential component of digital arbitration. The ICC encourages tribunals to adopt procedural orders that specifically address cybersecurity measures, such as the use of secure file-sharing platforms and mandatory confidentiality undertakings for participants. Similarly, the London Court of International Arbitration (LCIA) has revised its 2020 Arbitration Rules to include provisions explicitly recognizing the role of technology in arbitration and the importance of protecting electronically stored information. These initiatives underscore the trend among leading institutions to embed data protection not only in practice notes but also directly into their rules, thereby elevating cybersecurity from a matter of best practice to a quasi-obligatory component of arbitral procedure</w:t>
      </w:r>
      <w:r>
        <w:rPr>
          <w:rStyle w:val="FootnoteReference"/>
          <w:rFonts w:asciiTheme="majorBidi" w:eastAsia="Times New Roman" w:hAnsiTheme="majorBidi" w:cstheme="majorBidi"/>
          <w:color w:val="000000"/>
          <w:lang w:bidi="ar-AE"/>
        </w:rPr>
        <w:footnoteReference w:id="380"/>
      </w:r>
      <w:r>
        <w:rPr>
          <w:rFonts w:asciiTheme="majorBidi" w:eastAsia="Calibri" w:hAnsiTheme="majorBidi" w:cstheme="majorBidi"/>
          <w:color w:val="000000"/>
          <w:lang w:bidi="ar-AE"/>
        </w:rPr>
        <w:t>.</w:t>
      </w:r>
    </w:p>
    <w:p w14:paraId="1EEEEBDC"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Asian arbitral institutions have also been proactive in developing guidelines tailored to their regional contexts. The Singapore International Arbitration Centre (SIAC) and the Hong Kong International Arbitration Centre  (HKIAC), for example, have issued practice notes on the conduct of virtual hearings and the use of electronic communications, both of which include references to confidentiality and data security. HKIAC has invested in a state-of-the-art electronic case management system that incorporates encryption and access controls to protect sensitive information. These developments are significant because Asia has become one of the most dynamic regions for international arbitration, and the proactive adoption of data protection measures ensures that institutions remain competitive and credible in the </w:t>
      </w:r>
      <w:r>
        <w:rPr>
          <w:rFonts w:asciiTheme="majorBidi" w:eastAsia="Calibri" w:hAnsiTheme="majorBidi" w:cstheme="majorBidi"/>
          <w:color w:val="000000"/>
          <w:lang w:bidi="ar-AE"/>
        </w:rPr>
        <w:lastRenderedPageBreak/>
        <w:t>global market. By embedding cybersecurity and privacy safeguards into their operational frameworks, Asian institutions demonstrate that data protection is now a global priority in arbitration practice, not limited to Europe or North America</w:t>
      </w:r>
      <w:r>
        <w:rPr>
          <w:rStyle w:val="FootnoteReference"/>
          <w:rFonts w:asciiTheme="majorBidi" w:eastAsia="Times New Roman" w:hAnsiTheme="majorBidi" w:cstheme="majorBidi"/>
          <w:color w:val="000000"/>
          <w:lang w:bidi="ar-AE"/>
        </w:rPr>
        <w:footnoteReference w:id="381"/>
      </w:r>
      <w:r>
        <w:rPr>
          <w:rFonts w:asciiTheme="majorBidi" w:eastAsia="Calibri" w:hAnsiTheme="majorBidi" w:cstheme="majorBidi"/>
          <w:color w:val="000000"/>
          <w:lang w:bidi="ar-AE"/>
        </w:rPr>
        <w:t>.</w:t>
      </w:r>
    </w:p>
    <w:p w14:paraId="4EDB0B4C"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Despite these advances, institutional guidelines are not without limitations. Most of these measures operate as “soft law,” relying on voluntary compliance by parties and tribunals rather than binding enforcement mechanisms. Furthermore, the sophistication of guidelines varies considerably across institutions, with leading global centres offering detailed frameworks while smaller regional centres may provide only general references to confidentiality without specific protocols for digital security. This inconsistency creates uncertainty for parties engaged in cross-border arbitration, who may find that the level of protection for their data depends largely on the institution administering the case. For jurisdictions such as the UAE, where arbitral institutions like DIAC, ADGM, and ADCCAC are striving to establish themselves as global arbitral hubs, aligning institutional practices with international benchmarks like those of the AAA–ICDR, ICC, and LCIA is crucial. Doing so would not only enhance the protection of sensitive information but also build the confidence of international parties in choosing the UAE as a seat of arbitration</w:t>
      </w:r>
      <w:r>
        <w:rPr>
          <w:rStyle w:val="FootnoteReference"/>
          <w:rFonts w:asciiTheme="majorBidi" w:eastAsia="Times New Roman" w:hAnsiTheme="majorBidi" w:cstheme="majorBidi"/>
          <w:color w:val="000000"/>
          <w:lang w:bidi="ar-AE"/>
        </w:rPr>
        <w:footnoteReference w:id="382"/>
      </w:r>
      <w:r>
        <w:rPr>
          <w:rFonts w:asciiTheme="majorBidi" w:eastAsia="Calibri" w:hAnsiTheme="majorBidi" w:cstheme="majorBidi"/>
          <w:color w:val="000000"/>
          <w:lang w:bidi="ar-AE"/>
        </w:rPr>
        <w:t>.</w:t>
      </w:r>
    </w:p>
    <w:p w14:paraId="444D3B2D" w14:textId="77777777" w:rsidR="00F073C0" w:rsidRPr="008819FD" w:rsidRDefault="00752CD5" w:rsidP="009F5ACD">
      <w:pPr>
        <w:pStyle w:val="Heading3"/>
        <w:rPr>
          <w:rFonts w:asciiTheme="majorBidi" w:hAnsiTheme="majorBidi" w:cstheme="majorBidi"/>
          <w:lang w:bidi="ar-AE"/>
        </w:rPr>
      </w:pPr>
      <w:bookmarkStart w:id="216" w:name="_Toc209626967"/>
      <w:bookmarkStart w:id="217" w:name="_Toc217491604"/>
      <w:bookmarkStart w:id="218" w:name="_Toc221804551"/>
      <w:r>
        <w:rPr>
          <w:rFonts w:asciiTheme="majorBidi" w:eastAsia="Times New Roman" w:hAnsiTheme="majorBidi" w:cstheme="majorBidi"/>
          <w:lang w:bidi="ar-AE"/>
        </w:rPr>
        <w:t xml:space="preserve">4.4.4 </w:t>
      </w:r>
      <w:r>
        <w:rPr>
          <w:rFonts w:asciiTheme="majorBidi" w:hAnsiTheme="majorBidi" w:cstheme="majorBidi"/>
          <w:lang w:bidi="ar-AE"/>
        </w:rPr>
        <w:t>Comparative Analysis of International Approaches</w:t>
      </w:r>
      <w:bookmarkEnd w:id="216"/>
      <w:bookmarkEnd w:id="217"/>
      <w:bookmarkEnd w:id="218"/>
    </w:p>
    <w:p w14:paraId="61E3FBA5"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regulation of data protection in arbitration varies significantly across jurisdictions, reflecting broader differences in how states approach privacy and cybersecurity. In the European Union, data protection is governed by the General Data Protection Regulation </w:t>
      </w:r>
      <w:r>
        <w:rPr>
          <w:rFonts w:asciiTheme="majorBidi" w:eastAsia="Calibri" w:hAnsiTheme="majorBidi" w:cstheme="majorBidi"/>
          <w:color w:val="000000"/>
          <w:lang w:bidi="ar-AE"/>
        </w:rPr>
        <w:lastRenderedPageBreak/>
        <w:t>(GDPR), which imposes a highly stringent, rights-based framework. Arbitration institutions and practitioners operating within or connected to the EU must therefore comply with obligations such as lawful bases for processing, restrictions on cross-border transfers, and recognition of data subject rights. The GDPR’s influence has been so extensive that even institutions outside the EU often adopt GDPR-aligned practices to reassure European parties and avoid enforcement risks. By contrast, in the United States, data protection is regulated through a fragmented patchwork of federal and state laws, such as the California Consumer Privacy Act (CCPA), which provides some privacy protections but lacks the comprehensive scope of the GDPR. This divergence illustrates the challenge of harmonizing standards in international arbitration, where cases may involve parties from both highly regulated and lightly regulated jurisdictions</w:t>
      </w:r>
      <w:r>
        <w:rPr>
          <w:rStyle w:val="FootnoteReference"/>
          <w:rFonts w:asciiTheme="majorBidi" w:eastAsia="Times New Roman" w:hAnsiTheme="majorBidi" w:cstheme="majorBidi"/>
          <w:color w:val="000000"/>
          <w:lang w:bidi="ar-AE"/>
        </w:rPr>
        <w:footnoteReference w:id="383"/>
      </w:r>
      <w:r>
        <w:rPr>
          <w:rFonts w:asciiTheme="majorBidi" w:eastAsia="Calibri" w:hAnsiTheme="majorBidi" w:cstheme="majorBidi"/>
          <w:color w:val="000000"/>
          <w:lang w:bidi="ar-AE"/>
        </w:rPr>
        <w:t>.</w:t>
      </w:r>
    </w:p>
    <w:p w14:paraId="0239E208"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In Asia, jurisdictions such as Singapore and Hong Kong have developed modern data protection frameworks that balance commercial flexibility with privacy safeguards. Singapore’s Personal Data Protection Act (PDPA), for instance, establishes general obligations on organisations while granting leeway for consent-based processing. This approach allows arbitral institutions like SIAC to integrate data protection into their practices without imposing overly burdensome compliance costs on parties. Similarly, Hong Kong’s Personal Data (Privacy) Ordinance (PDPO) provides a structured but pragmatic framework that supports HKIAC’s efforts to develop secure electronic case management systems. By contrast, in other parts of Asia, such as India or Indonesia, data protection laws remain less comprehensive, creating inconsistencies in how arbitral data is treated. These differences </w:t>
      </w:r>
      <w:r>
        <w:rPr>
          <w:rFonts w:asciiTheme="majorBidi" w:eastAsia="Calibri" w:hAnsiTheme="majorBidi" w:cstheme="majorBidi"/>
          <w:color w:val="000000"/>
          <w:lang w:bidi="ar-AE"/>
        </w:rPr>
        <w:lastRenderedPageBreak/>
        <w:t>highlight a regional divide: some Asian jurisdictions are aligning themselves with GDPR-level protections, while others prioritize economic growth over stringent privacy regulation.</w:t>
      </w:r>
      <w:r>
        <w:rPr>
          <w:rStyle w:val="FootnoteReference"/>
          <w:rFonts w:asciiTheme="majorBidi" w:eastAsia="Times New Roman" w:hAnsiTheme="majorBidi" w:cstheme="majorBidi"/>
          <w:color w:val="000000"/>
          <w:lang w:bidi="ar-AE"/>
        </w:rPr>
        <w:footnoteReference w:id="384"/>
      </w:r>
      <w:r>
        <w:rPr>
          <w:rFonts w:asciiTheme="majorBidi" w:eastAsia="Calibri" w:hAnsiTheme="majorBidi" w:cstheme="majorBidi"/>
          <w:color w:val="000000"/>
          <w:lang w:bidi="ar-AE"/>
        </w:rPr>
        <w:t>.</w:t>
      </w:r>
    </w:p>
    <w:p w14:paraId="01A0EE67"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Middle East presents a mixed picture. The United Arab Emirates has made significant strides by enacting the Federal Decree-Law No. 45 of 2021 on the Protection of Personal Data, which aligns in many respects with GDPR principles, including requirements for lawful processing, data minimization, and cross-border transfer restrictions. This law, combined with the UAE’s ambition to position itself as a leading arbitral hub, provides a solid foundation for institutions such as DIAC, ADGM, and ADCCAC to adopt modern data protection practices. In contrast, other Middle Eastern jurisdictions have been slower to develop comprehensive privacy laws, often relying on sector-specific regulations that do not directly address arbitration. This disparity creates challenges for cross-border arbitrations conducted within the region, where the level of confidentiality and data protection may vary significantly depending on the seat of arbitration or the administering institution.</w:t>
      </w:r>
      <w:r>
        <w:rPr>
          <w:rStyle w:val="FootnoteReference"/>
          <w:rFonts w:asciiTheme="majorBidi" w:eastAsia="Times New Roman" w:hAnsiTheme="majorBidi" w:cstheme="majorBidi"/>
          <w:color w:val="000000"/>
          <w:lang w:bidi="ar-AE"/>
        </w:rPr>
        <w:footnoteReference w:id="385"/>
      </w:r>
      <w:r>
        <w:rPr>
          <w:rFonts w:asciiTheme="majorBidi" w:eastAsia="Calibri" w:hAnsiTheme="majorBidi" w:cstheme="majorBidi"/>
          <w:color w:val="000000"/>
          <w:lang w:bidi="ar-AE"/>
        </w:rPr>
        <w:t>.</w:t>
      </w:r>
    </w:p>
    <w:p w14:paraId="15E6A051"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At the global level, a key distinction emerges between jurisdictions that rely on hard law—such as GDPR in the EU or the UAE’s Data Protection Law—and those that depend on soft law instruments developed by arbitral institutions or professional associations. While hard law frameworks provide enforceable obligations backed by penalties, soft law guidelines such as the ICCA–IBA Roadmap or the AAA–ICDR Cybersecurity Checklist operate primarily through voluntary compliance. Each approach has advantages and drawbacks: hard law ensures consistency and accountability but may reduce flexibility, while soft law allows </w:t>
      </w:r>
      <w:r>
        <w:rPr>
          <w:rFonts w:asciiTheme="majorBidi" w:eastAsia="Calibri" w:hAnsiTheme="majorBidi" w:cstheme="majorBidi"/>
          <w:color w:val="000000"/>
          <w:lang w:bidi="ar-AE"/>
        </w:rPr>
        <w:lastRenderedPageBreak/>
        <w:t>institutions to tailor solutions but risks uneven implementation. In practice, arbitration often requires navigating both systems, as parties and institutions must comply with binding national laws while also integrating best practices developed through soft law initiatives. The interaction of these frameworks is both a strength, in terms of adaptability, and a weakness, in terms of legal uncertainty</w:t>
      </w:r>
      <w:r>
        <w:rPr>
          <w:rStyle w:val="FootnoteReference"/>
          <w:rFonts w:asciiTheme="majorBidi" w:eastAsia="Times New Roman" w:hAnsiTheme="majorBidi" w:cstheme="majorBidi"/>
          <w:color w:val="000000"/>
          <w:lang w:bidi="ar-AE"/>
        </w:rPr>
        <w:footnoteReference w:id="386"/>
      </w:r>
      <w:r>
        <w:rPr>
          <w:rFonts w:asciiTheme="majorBidi" w:eastAsia="Calibri" w:hAnsiTheme="majorBidi" w:cstheme="majorBidi"/>
          <w:color w:val="000000"/>
          <w:lang w:bidi="ar-AE"/>
        </w:rPr>
        <w:t>.</w:t>
      </w:r>
    </w:p>
    <w:p w14:paraId="4BA1050F"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comparative analysis suggests that the future of data protection in arbitration may depend on greater harmonization across jurisdictions. Without convergence, parties may face significant uncertainty regarding which standards apply, particularly in arbitrations involving multiple legal systems. For example, an arbitration seated in Dubai but involving European and American parties must navigate GDPR obligations, UAE data protection law, and possibly U.S. state laws, each with different requirements. This complexity risks undermining arbitration’s efficiency and predictability, which are its traditional advantages over litigation. A potential solution lies in the development of international protocols or model laws specifically tailored to arbitration, combining the enforceability of hard law with the flexibility of soft law. Until such convergence occurs, institutions that proactively adopt GDPR-level protections, regardless of jurisdiction, are likely to gain a competitive edge in attracting international cases by offering a higher level of certainty and trust in the protection of confidential data.</w:t>
      </w:r>
      <w:r>
        <w:rPr>
          <w:rStyle w:val="FootnoteReference"/>
          <w:rFonts w:asciiTheme="majorBidi" w:eastAsia="Times New Roman" w:hAnsiTheme="majorBidi" w:cstheme="majorBidi"/>
          <w:color w:val="000000"/>
          <w:lang w:bidi="ar-AE"/>
        </w:rPr>
        <w:footnoteReference w:id="387"/>
      </w:r>
      <w:r>
        <w:rPr>
          <w:rFonts w:asciiTheme="majorBidi" w:eastAsia="Calibri" w:hAnsiTheme="majorBidi" w:cstheme="majorBidi"/>
          <w:color w:val="000000"/>
          <w:lang w:bidi="ar-AE"/>
        </w:rPr>
        <w:t>.</w:t>
      </w:r>
    </w:p>
    <w:p w14:paraId="7B4BDBA8" w14:textId="77777777" w:rsidR="00F073C0" w:rsidRPr="008819FD" w:rsidRDefault="00752CD5" w:rsidP="009F5ACD">
      <w:pPr>
        <w:pStyle w:val="Heading3"/>
        <w:rPr>
          <w:rFonts w:asciiTheme="majorBidi" w:hAnsiTheme="majorBidi" w:cstheme="majorBidi"/>
          <w:lang w:bidi="ar-AE"/>
        </w:rPr>
      </w:pPr>
      <w:bookmarkStart w:id="219" w:name="_Toc209626968"/>
      <w:bookmarkStart w:id="220" w:name="_Toc217491605"/>
      <w:bookmarkStart w:id="221" w:name="_Toc221804552"/>
      <w:r>
        <w:rPr>
          <w:rFonts w:asciiTheme="majorBidi" w:eastAsia="Times New Roman" w:hAnsiTheme="majorBidi" w:cstheme="majorBidi"/>
          <w:lang w:bidi="ar-AE"/>
        </w:rPr>
        <w:lastRenderedPageBreak/>
        <w:t xml:space="preserve">4.4.5 </w:t>
      </w:r>
      <w:r>
        <w:rPr>
          <w:rFonts w:asciiTheme="majorBidi" w:hAnsiTheme="majorBidi" w:cstheme="majorBidi"/>
          <w:lang w:bidi="ar-AE"/>
        </w:rPr>
        <w:t>Limitations of Current International Frameworks</w:t>
      </w:r>
      <w:bookmarkEnd w:id="219"/>
      <w:bookmarkEnd w:id="220"/>
      <w:bookmarkEnd w:id="221"/>
    </w:p>
    <w:p w14:paraId="2836ABD3"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Despite the proliferation of data protection laws and institutional guidelines, the current international frameworks governing privacy and confidentiality in arbitration remain fragmented and inconsistent. One of the most pressing limitations is the lack of uniformity across jurisdictions. While the European Union’s GDPR has set a global benchmark for comprehensive data protection, many jurisdictions either lack equivalent legislation or have adopted piecemeal regulations that fail to provide adequate safeguards in the context of international arbitration. This disparity creates uncertainty for parties, arbitrators, and institutions when proceedings involve multiple jurisdictions with conflicting legal obligations. For example, a tribunal handling a dispute between a European company and an Asian counterpart seated in Dubai may have to reconcile GDPR obligations with the UAE’s data protection law and less stringent Asian regulations, potentially leading to conflicts of law and compliance burdens that undermine efficiency</w:t>
      </w:r>
      <w:r>
        <w:rPr>
          <w:rStyle w:val="FootnoteReference"/>
          <w:rFonts w:asciiTheme="majorBidi" w:eastAsia="Times New Roman" w:hAnsiTheme="majorBidi" w:cstheme="majorBidi"/>
          <w:color w:val="000000"/>
          <w:lang w:bidi="ar-AE"/>
        </w:rPr>
        <w:footnoteReference w:id="388"/>
      </w:r>
      <w:r>
        <w:rPr>
          <w:rFonts w:asciiTheme="majorBidi" w:eastAsia="Calibri" w:hAnsiTheme="majorBidi" w:cstheme="majorBidi"/>
          <w:color w:val="000000"/>
          <w:lang w:bidi="ar-AE"/>
        </w:rPr>
        <w:t>.</w:t>
      </w:r>
    </w:p>
    <w:p w14:paraId="546A97CA"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 second limitation concerns the enforceability of soft law instruments such as the ICCA–IBA Roadmap or institutional cybersecurity protocols. While these instruments provide valuable guidance, they lack the binding force of legislation, meaning compliance depends on voluntary adoption by parties and institutions. This voluntary nature often results in uneven implementation, with larger or well-funded institutions adopting sophisticated protocols, while smaller centres or ad hoc arbitrations lag. Consequently, parties may receive varying levels of data protection depending on the administering institution rather than the inherent requirements of international law. This undermines the consistency and predictability that </w:t>
      </w:r>
      <w:r>
        <w:rPr>
          <w:rFonts w:asciiTheme="majorBidi" w:eastAsia="Calibri" w:hAnsiTheme="majorBidi" w:cstheme="majorBidi"/>
          <w:color w:val="000000"/>
          <w:lang w:bidi="ar-AE"/>
        </w:rPr>
        <w:lastRenderedPageBreak/>
        <w:t>arbitration is supposed to provide, creating a patchwork of practices that may confuse or deter users.</w:t>
      </w:r>
      <w:r>
        <w:rPr>
          <w:rStyle w:val="FootnoteReference"/>
          <w:rFonts w:asciiTheme="majorBidi" w:eastAsia="Times New Roman" w:hAnsiTheme="majorBidi" w:cstheme="majorBidi"/>
          <w:color w:val="000000"/>
          <w:lang w:bidi="ar-AE"/>
        </w:rPr>
        <w:footnoteReference w:id="389"/>
      </w:r>
      <w:r>
        <w:rPr>
          <w:rFonts w:asciiTheme="majorBidi" w:eastAsia="Calibri" w:hAnsiTheme="majorBidi" w:cstheme="majorBidi"/>
          <w:color w:val="000000"/>
          <w:lang w:bidi="ar-AE"/>
        </w:rPr>
        <w:t>.</w:t>
      </w:r>
    </w:p>
    <w:p w14:paraId="184E0DEE"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Third, the scope of existing frameworks often overlooks the unique challenges of online arbitration. Many data protection laws, including the GDPR, were not specifically designed with arbitration in mind. As a result, applying general rules to arbitral proceedings can create tension with core arbitral principles. For instance, GDPR’s right to be forgotten may conflict with arbitration’s requirement to maintain records for enforcement or challenge proceedings. Similarly, obligations to disclose data breaches within strict timeframes may clash with the confidentiality that parties expect in arbitration. These tensions highlight the inadequacy of simply transplanting general data protection regimes into the arbitration context without tailoring them to its unique features, such as confidentiality, party autonomy, and enforceability of awards.</w:t>
      </w:r>
    </w:p>
    <w:p w14:paraId="05792C5F"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 further limitation is the lack of clear allocation of responsibility among arbitral actors. In international arbitration, multiple stakeholder’s arbitral institutions, tribunals, counsel, experts, and technology providers are involved in handling sensitive data. Yet, current frameworks often fail to specify which actor bears primary responsibility for compliance. For example, should the arbitral institution be treated as a data controller, or does the tribunal assume that role? If a data breach occurs on a third-party virtual hearing platform, is the institution liable, or is the responsibility shared with the parties? The absence of a clear allocation not only complicates compliance but also exposes participants to legal uncertainty </w:t>
      </w:r>
      <w:r>
        <w:rPr>
          <w:rFonts w:asciiTheme="majorBidi" w:eastAsia="Calibri" w:hAnsiTheme="majorBidi" w:cstheme="majorBidi"/>
          <w:color w:val="000000"/>
          <w:lang w:bidi="ar-AE"/>
        </w:rPr>
        <w:lastRenderedPageBreak/>
        <w:t>and potential disputes over liability. Without standardised rules clarifying responsibilities, the effectiveness of data protection frameworks in arbitration remains limited.</w:t>
      </w:r>
      <w:r>
        <w:rPr>
          <w:rStyle w:val="FootnoteReference"/>
          <w:rFonts w:asciiTheme="majorBidi" w:eastAsia="Times New Roman" w:hAnsiTheme="majorBidi" w:cstheme="majorBidi"/>
          <w:color w:val="000000"/>
          <w:lang w:bidi="ar-AE"/>
        </w:rPr>
        <w:footnoteReference w:id="390"/>
      </w:r>
      <w:r>
        <w:rPr>
          <w:rFonts w:asciiTheme="majorBidi" w:eastAsia="Calibri" w:hAnsiTheme="majorBidi" w:cstheme="majorBidi"/>
          <w:color w:val="000000"/>
          <w:lang w:bidi="ar-AE"/>
        </w:rPr>
        <w:t>.</w:t>
      </w:r>
    </w:p>
    <w:p w14:paraId="14A7E1E0"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Finally, international frameworks face limitations in terms of adaptability to emerging technologies. The rapid adoption of artificial intelligence, blockchain, and biometric authentication in arbitration proceedings raises novel privacy risks that existing laws and guidelines are not fully equipped to address. For instance, AI-driven tools for document review may inadvertently process data in ways that conflict with data minimization principles, while blockchain’s immutability may conflict with rights to rectification or erasure. Current frameworks tend to be reactive rather than proactive, addressing challenges only after they have emerged, which risks leaving significant gaps in protection. To remain effective, data protection frameworks must evolve in parallel with technological innovation, incorporating forward-looking principles that anticipate new risks while preserving arbitration’s defining features of confidentiality and efficiency. Until then, the limitations of current international frameworks will continue to pose challenges for the secure and consistent conduct of online arbitration</w:t>
      </w:r>
      <w:r>
        <w:rPr>
          <w:rStyle w:val="FootnoteReference"/>
          <w:rFonts w:asciiTheme="majorBidi" w:eastAsia="Times New Roman" w:hAnsiTheme="majorBidi" w:cstheme="majorBidi"/>
          <w:color w:val="000000"/>
          <w:lang w:bidi="ar-AE"/>
        </w:rPr>
        <w:footnoteReference w:id="391"/>
      </w:r>
      <w:r>
        <w:rPr>
          <w:rFonts w:asciiTheme="majorBidi" w:eastAsia="Calibri" w:hAnsiTheme="majorBidi" w:cstheme="majorBidi"/>
          <w:color w:val="000000"/>
          <w:lang w:bidi="ar-AE"/>
        </w:rPr>
        <w:t>.</w:t>
      </w:r>
    </w:p>
    <w:p w14:paraId="07910C0B" w14:textId="77777777" w:rsidR="00F073C0" w:rsidRPr="008819FD" w:rsidRDefault="00F073C0" w:rsidP="00663759">
      <w:pPr>
        <w:pStyle w:val="Heading2"/>
        <w:rPr>
          <w:rFonts w:asciiTheme="majorBidi" w:hAnsiTheme="majorBidi" w:cstheme="majorBidi"/>
          <w:sz w:val="24"/>
          <w:szCs w:val="24"/>
          <w:lang w:bidi="ar-AE"/>
        </w:rPr>
      </w:pPr>
      <w:bookmarkStart w:id="222" w:name="_Toc209626969"/>
      <w:bookmarkStart w:id="223" w:name="_Toc217491606"/>
      <w:bookmarkStart w:id="224" w:name="_Toc221804553"/>
      <w:r>
        <w:rPr>
          <w:rFonts w:asciiTheme="majorBidi" w:hAnsiTheme="majorBidi" w:cstheme="majorBidi"/>
          <w:sz w:val="24"/>
          <w:szCs w:val="24"/>
          <w:lang w:bidi="ar-AE"/>
        </w:rPr>
        <w:t>UAE Legal and Institutional Framework</w:t>
      </w:r>
      <w:bookmarkEnd w:id="222"/>
      <w:bookmarkEnd w:id="223"/>
      <w:bookmarkEnd w:id="224"/>
    </w:p>
    <w:p w14:paraId="6287C847" w14:textId="77777777" w:rsidR="00F073C0" w:rsidRPr="008819FD" w:rsidRDefault="00752CD5" w:rsidP="009F5ACD">
      <w:pPr>
        <w:pStyle w:val="Heading3"/>
        <w:rPr>
          <w:rFonts w:asciiTheme="majorBidi" w:hAnsiTheme="majorBidi" w:cstheme="majorBidi"/>
          <w:lang w:bidi="ar-AE"/>
        </w:rPr>
      </w:pPr>
      <w:bookmarkStart w:id="225" w:name="_Toc209626970"/>
      <w:bookmarkStart w:id="226" w:name="_Toc217491607"/>
      <w:bookmarkStart w:id="227" w:name="_Toc221804554"/>
      <w:r>
        <w:rPr>
          <w:rFonts w:asciiTheme="majorBidi" w:eastAsia="Times New Roman" w:hAnsiTheme="majorBidi" w:cstheme="majorBidi"/>
          <w:lang w:bidi="ar-AE"/>
        </w:rPr>
        <w:t xml:space="preserve">4.5.1 </w:t>
      </w:r>
      <w:r>
        <w:rPr>
          <w:rFonts w:asciiTheme="majorBidi" w:hAnsiTheme="majorBidi" w:cstheme="majorBidi"/>
          <w:lang w:bidi="ar-AE"/>
        </w:rPr>
        <w:t>Federal Decree-Law No. 45 of 2021 on the Protection of Personal Data</w:t>
      </w:r>
      <w:bookmarkEnd w:id="225"/>
      <w:bookmarkEnd w:id="226"/>
      <w:bookmarkEnd w:id="227"/>
    </w:p>
    <w:p w14:paraId="0E1B342C"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enactment of the Federal Decree-Law No. 45 of 2021 on the Protection of Personal Data (PDPL) marked a significant milestone in the UAE’s efforts to align itself with global standards on privacy and data protection. Inspired by international frameworks such as </w:t>
      </w:r>
      <w:r>
        <w:rPr>
          <w:rFonts w:asciiTheme="majorBidi" w:eastAsia="Calibri" w:hAnsiTheme="majorBidi" w:cstheme="majorBidi"/>
          <w:color w:val="000000"/>
          <w:lang w:bidi="ar-AE"/>
        </w:rPr>
        <w:lastRenderedPageBreak/>
        <w:t>the EU’s GDPR, the PDPL provides a comprehensive legal foundation for regulating how personal data is collected, processed, stored, and transferred within and outside the UAE. In the context of online arbitration, this law is particularly relevant because arbitral proceedings frequently involve the processing of sensitive personal and commercial information, including details of parties, witnesses, financial records, and contractual arrangements. The PDPL establishes general principles such as transparency, accountability, purpose limitation, and data minimization, all of which directly impact how arbitral institutions and tribunals in the UAE manage digital arbitration files. By introducing a formal regulatory structure, the PDPL fills an important gap that previously left much of the responsibility for data protection to institutional rules or party agreements.</w:t>
      </w:r>
      <w:r>
        <w:rPr>
          <w:rStyle w:val="FootnoteReference"/>
          <w:rFonts w:asciiTheme="majorBidi" w:eastAsia="Times New Roman" w:hAnsiTheme="majorBidi" w:cstheme="majorBidi"/>
          <w:color w:val="000000"/>
          <w:lang w:bidi="ar-AE"/>
        </w:rPr>
        <w:footnoteReference w:id="392"/>
      </w:r>
      <w:r>
        <w:rPr>
          <w:rFonts w:asciiTheme="majorBidi" w:eastAsia="Calibri" w:hAnsiTheme="majorBidi" w:cstheme="majorBidi"/>
          <w:color w:val="000000"/>
          <w:lang w:bidi="ar-AE"/>
        </w:rPr>
        <w:t>.</w:t>
      </w:r>
    </w:p>
    <w:p w14:paraId="44AD306F"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One of the most significant features of the PDPL is its recognition of the rights of data subjects, which introduces new obligations for arbitral participants. Under the law, individuals have rights of access, rectification, erasure, and objection to the processing of their personal data. This creates potential challenges in arbitration, where confidentiality and the preservation of the arbitral record are fundamental. For instance, if a witness or party invokes the right to erasure (the “right to be forgotten”), this may conflict with the need to retain evidence for the enforcement of awards or for judicial review. Similarly, if a party objects to certain processing activities, institutions and tribunals may be forced to reconcile individual privacy rights with procedural obligations. These tensions illustrate the complexity of applying general data protection principles to arbitration, a specialised field where confidentiality and </w:t>
      </w:r>
      <w:r>
        <w:rPr>
          <w:rFonts w:asciiTheme="majorBidi" w:eastAsia="Calibri" w:hAnsiTheme="majorBidi" w:cstheme="majorBidi"/>
          <w:color w:val="000000"/>
          <w:lang w:bidi="ar-AE"/>
        </w:rPr>
        <w:lastRenderedPageBreak/>
        <w:t>finality often take precedence. The PDPL thus raises critical questions about how to balance data subject rights with arbitral efficiency and integrity.</w:t>
      </w:r>
      <w:r>
        <w:rPr>
          <w:rStyle w:val="FootnoteReference"/>
          <w:rFonts w:asciiTheme="majorBidi" w:eastAsia="Times New Roman" w:hAnsiTheme="majorBidi" w:cstheme="majorBidi"/>
          <w:color w:val="000000"/>
          <w:lang w:bidi="ar-AE"/>
        </w:rPr>
        <w:footnoteReference w:id="393"/>
      </w:r>
      <w:r>
        <w:rPr>
          <w:rFonts w:asciiTheme="majorBidi" w:eastAsia="Calibri" w:hAnsiTheme="majorBidi" w:cstheme="majorBidi"/>
          <w:color w:val="000000"/>
          <w:lang w:bidi="ar-AE"/>
        </w:rPr>
        <w:t>.</w:t>
      </w:r>
    </w:p>
    <w:p w14:paraId="4327F1DC"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Another important aspect of the PDPL is its extraterritorial application. Like the GDPR, the law applies not only to organisations established in the UAE but also to entities outside the country that process the personal data of individuals within the UAE. This provision significantly broadens the law’s reach and ensures that foreign arbitral institutions, counsel, or technology providers handling UAE-related disputes may also be subject to its requirements. For example, an international law firm based in London but representing a party in arbitration seated in Dubai could be required to comply with the PDPL’s obligations regarding lawful processing and cross-border data transfers. This extraterritorial scope reinforces the UAE’s position as a global arbitration hub by signaling to international parties that their data will be subject to rigorous protection standards, regardless of where it is processed. However, it also increases compliance burdens for international practitioners and institutions, particularly those unfamiliar with UAE law</w:t>
      </w:r>
      <w:r>
        <w:rPr>
          <w:rStyle w:val="FootnoteReference"/>
          <w:rFonts w:asciiTheme="majorBidi" w:eastAsia="Times New Roman" w:hAnsiTheme="majorBidi" w:cstheme="majorBidi"/>
          <w:color w:val="000000"/>
          <w:lang w:bidi="ar-AE"/>
        </w:rPr>
        <w:footnoteReference w:id="394"/>
      </w:r>
      <w:r>
        <w:rPr>
          <w:rFonts w:asciiTheme="majorBidi" w:eastAsia="Calibri" w:hAnsiTheme="majorBidi" w:cstheme="majorBidi"/>
          <w:color w:val="000000"/>
          <w:lang w:bidi="ar-AE"/>
        </w:rPr>
        <w:t>.</w:t>
      </w:r>
    </w:p>
    <w:p w14:paraId="6E764F19"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The PDPL also introduces regulatory oversight mechanisms, including the establishment of a data protection office responsible for monitoring compliance, issuing guidance, and investigating violations. For arbitration, this creates a new dimension of external accountability, as breaches of data protection in arbitral proceedings may no longer be handled exclusively within the institutional framework but could also attract scrutiny from regulatory authorities. This development enhances the credibility of the UAE’s data protection </w:t>
      </w:r>
      <w:r>
        <w:rPr>
          <w:rFonts w:asciiTheme="majorBidi" w:eastAsia="Calibri" w:hAnsiTheme="majorBidi" w:cstheme="majorBidi"/>
          <w:color w:val="000000"/>
          <w:lang w:bidi="ar-AE"/>
        </w:rPr>
        <w:lastRenderedPageBreak/>
        <w:t>regime but raises concerns about the potential for external interference in arbitral confidentiality. For instance, if a breach occurs during a virtual hearing conducted under the auspices of DIAC, would the institution be required to report the incident to regulators, and could this disclosure itself undermine the parties’ expectation of confidentiality? These questions highlight the delicate balance between ensuring accountability through regulatory oversight and preserving the autonomy and confidentiality that define arbitration.</w:t>
      </w:r>
      <w:r>
        <w:rPr>
          <w:rStyle w:val="FootnoteReference"/>
          <w:rFonts w:asciiTheme="majorBidi" w:eastAsia="Times New Roman" w:hAnsiTheme="majorBidi" w:cstheme="majorBidi"/>
          <w:color w:val="000000"/>
          <w:lang w:bidi="ar-AE"/>
        </w:rPr>
        <w:footnoteReference w:id="395"/>
      </w:r>
      <w:r>
        <w:rPr>
          <w:rFonts w:asciiTheme="majorBidi" w:eastAsia="Calibri" w:hAnsiTheme="majorBidi" w:cstheme="majorBidi"/>
          <w:color w:val="000000"/>
          <w:lang w:bidi="ar-AE"/>
        </w:rPr>
        <w:t>.</w:t>
      </w:r>
    </w:p>
    <w:p w14:paraId="4BC56B8A"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Finally, while the PDPL represents a major step forward, its application to arbitration remains in its early stages, and several challenges remain unresolved. First, the law does not explicitly address arbitration, leaving room for uncertainty about how its provisions should be interpreted in this context. Second, the relationship between the PDPL and existing arbitration law (Federal Law No. 6 of 2018 on Arbitration) is not clearly defined, particularly when it comes to conflicts between data protection rights and arbitral confidentiality. Third, the practical enforcement of the PDPL in arbitration will depend heavily on the development of implementing regulations and institutional practices. If arbitral institutions in the UAE, such as DIAC, ADGM, or ADCCAC, incorporate PDPL principles into their procedural rules and digital platforms, the law could significantly strengthen party confidence in online arbitration. However, without such integration, the PDPL risks remaining a general legal framework with limited practical impact. Ultimately, the success of the PDPL in enhancing confidentiality and privacy in online arbitration will depend on how effectively it is harmonised with arbitral practice and supported by institutional commitment</w:t>
      </w:r>
      <w:r>
        <w:rPr>
          <w:rStyle w:val="FootnoteReference"/>
          <w:rFonts w:asciiTheme="majorBidi" w:eastAsia="Times New Roman" w:hAnsiTheme="majorBidi" w:cstheme="majorBidi"/>
          <w:color w:val="000000"/>
          <w:lang w:bidi="ar-AE"/>
        </w:rPr>
        <w:footnoteReference w:id="396"/>
      </w:r>
      <w:r>
        <w:rPr>
          <w:rFonts w:asciiTheme="majorBidi" w:eastAsia="Calibri" w:hAnsiTheme="majorBidi" w:cstheme="majorBidi"/>
          <w:color w:val="000000"/>
          <w:lang w:bidi="ar-AE"/>
        </w:rPr>
        <w:t>.</w:t>
      </w:r>
    </w:p>
    <w:p w14:paraId="6FBB77E7" w14:textId="77777777" w:rsidR="00F073C0" w:rsidRPr="008819FD" w:rsidRDefault="00752CD5" w:rsidP="009F5ACD">
      <w:pPr>
        <w:pStyle w:val="Heading3"/>
        <w:rPr>
          <w:rFonts w:asciiTheme="majorBidi" w:hAnsiTheme="majorBidi" w:cstheme="majorBidi"/>
          <w:lang w:bidi="ar-AE"/>
        </w:rPr>
      </w:pPr>
      <w:bookmarkStart w:id="228" w:name="_Toc209626971"/>
      <w:bookmarkStart w:id="229" w:name="_Toc217491608"/>
      <w:bookmarkStart w:id="230" w:name="_Toc221804555"/>
      <w:r>
        <w:rPr>
          <w:rFonts w:asciiTheme="majorBidi" w:eastAsia="Times New Roman" w:hAnsiTheme="majorBidi" w:cstheme="majorBidi"/>
          <w:lang w:bidi="ar-AE"/>
        </w:rPr>
        <w:lastRenderedPageBreak/>
        <w:t xml:space="preserve">4.5.2 </w:t>
      </w:r>
      <w:r>
        <w:rPr>
          <w:rFonts w:asciiTheme="majorBidi" w:hAnsiTheme="majorBidi" w:cstheme="majorBidi"/>
          <w:lang w:bidi="ar-AE"/>
        </w:rPr>
        <w:t>Federal Law No. 6 of 2018 on Arbitration</w:t>
      </w:r>
      <w:bookmarkEnd w:id="228"/>
      <w:bookmarkEnd w:id="229"/>
      <w:bookmarkEnd w:id="230"/>
    </w:p>
    <w:p w14:paraId="05F3D2E8"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enactment of the Federal Law No. 6 of 2018 on Arbitration marked a turning point in the UAE’s legal framework for dispute resolution, bringing the country’s arbitration law in line with international standards such as the UNCITRAL Model Law on International Commercial Arbitration (1985, amended 2006). While the law is primarily procedural in nature, it has significant implications for the conduct of online arbitration and the protection of privacy and confidentiality. One of its most notable contributions is the recognition of the principle of party autonomy, allowing parties wide discretion to agree on the rules and procedures governing their arbitration, including the use of electronic communications. This flexibility provides the legal foundation for adopting virtual hearings, digital case management platforms, and other technological tools without undermining the enforceability of arbitral awards. In doing so, the law facilitates the integration of modern digital practices into the UAE’s arbitration landscape, while preserving the legitimacy of proceedings under national and international enforcement regimes</w:t>
      </w:r>
      <w:r>
        <w:rPr>
          <w:rStyle w:val="FootnoteReference"/>
          <w:rFonts w:asciiTheme="majorBidi" w:eastAsia="Times New Roman" w:hAnsiTheme="majorBidi" w:cstheme="majorBidi"/>
          <w:color w:val="000000"/>
          <w:lang w:bidi="ar-AE"/>
        </w:rPr>
        <w:footnoteReference w:id="397"/>
      </w:r>
      <w:r>
        <w:rPr>
          <w:rFonts w:asciiTheme="majorBidi" w:eastAsia="Calibri" w:hAnsiTheme="majorBidi" w:cstheme="majorBidi"/>
          <w:color w:val="000000"/>
          <w:lang w:bidi="ar-AE"/>
        </w:rPr>
        <w:t>.</w:t>
      </w:r>
    </w:p>
    <w:p w14:paraId="75EEB6AA" w14:textId="6CD79B7C"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 </w:t>
      </w:r>
      <w:r w:rsidR="000851F5">
        <w:rPr>
          <w:rFonts w:asciiTheme="majorBidi" w:eastAsia="Calibri" w:hAnsiTheme="majorBidi" w:cstheme="majorBidi"/>
          <w:color w:val="000000"/>
          <w:lang w:bidi="ar-AE"/>
        </w:rPr>
        <w:t xml:space="preserve">It is important to distinguish two related but distinct concepts. The privacy of the hearings is addressed by Article 33(1) of the UAE Arbitration Law, which provides that arbitral hearings shall be conducted in private unless the parties agree otherwise, whereas the confidentiality of the arbitral award is dealt with separately by Article 48, under which an award may not be published, in whole or in part, without the written consent of the parties. It is the privacy of hearings under Article 33(1) that is most directly engaged by the conduct of online hearings. </w:t>
      </w:r>
      <w:r>
        <w:rPr>
          <w:rFonts w:asciiTheme="majorBidi" w:eastAsia="Calibri" w:hAnsiTheme="majorBidi" w:cstheme="majorBidi"/>
          <w:color w:val="000000"/>
          <w:lang w:bidi="ar-AE"/>
        </w:rPr>
        <w:t xml:space="preserve">Although the law does not explicitly reference virtual hearings or electronic </w:t>
      </w:r>
      <w:r>
        <w:rPr>
          <w:rFonts w:asciiTheme="majorBidi" w:eastAsia="Calibri" w:hAnsiTheme="majorBidi" w:cstheme="majorBidi"/>
          <w:color w:val="000000"/>
          <w:lang w:bidi="ar-AE"/>
        </w:rPr>
        <w:lastRenderedPageBreak/>
        <w:t>platforms, the principle of privacy embedded in this provision extends naturally to digital environments. By implication, any online arbitration conducted under the law must ensure that the confidentiality of proceedings is maintained, whether hearings occur in physical rooms or via encrypted video conferencing systems. This provision therefore imposes an indirect obligation on tribunals and institutions to adopt secure digital practices. For example, if a virtual hearing is conducted on an insecure platform that allows unauthorised access, it could be argued that the tribunal failed to uphold the statutory requirement of privacy, potentially jeopardizing the validity of the proceedings. The law’s emphasis on confidentiality thus serves as a legal anchor for embedding cybersecurity and data protection measures into online arbitration in the UAE.</w:t>
      </w:r>
      <w:r>
        <w:rPr>
          <w:rStyle w:val="FootnoteReference"/>
          <w:rFonts w:asciiTheme="majorBidi" w:eastAsia="Times New Roman" w:hAnsiTheme="majorBidi" w:cstheme="majorBidi"/>
          <w:color w:val="000000"/>
          <w:lang w:bidi="ar-AE"/>
        </w:rPr>
        <w:footnoteReference w:id="398"/>
      </w:r>
      <w:r>
        <w:rPr>
          <w:rFonts w:asciiTheme="majorBidi" w:eastAsia="Calibri" w:hAnsiTheme="majorBidi" w:cstheme="majorBidi"/>
          <w:color w:val="000000"/>
          <w:lang w:bidi="ar-AE"/>
        </w:rPr>
        <w:t>.</w:t>
      </w:r>
    </w:p>
    <w:p w14:paraId="61E29449"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Another important feature of the 2018 Arbitration Law is its recognition of electronic communications as a valid means of conducting arbitral procedures. The law explicitly permits notices of arbitration, submissions, and awards to be transmitted electronically, provided that the method of communication ensures that the recipient can be reached. This provision aligns UAE arbitration practice with international developments and facilitates the digitalization of arbitration processes. However, it also raises questions about the adequacy of electronic safeguards. For instance, if a notice of arbitration is sent via email without encryption and is intercepted by a third party, does this satisfy the law’s requirement for effective communication? The law does not specify the level of security required for electronic transmissions, leaving institutions and tribunals responsible for interpreting and implementing appropriate safeguards. This gap highlights the importance of complementary </w:t>
      </w:r>
      <w:r>
        <w:rPr>
          <w:rFonts w:asciiTheme="majorBidi" w:eastAsia="Calibri" w:hAnsiTheme="majorBidi" w:cstheme="majorBidi"/>
          <w:color w:val="000000"/>
          <w:lang w:bidi="ar-AE"/>
        </w:rPr>
        <w:lastRenderedPageBreak/>
        <w:t>institutional rules and best practice guidelines to ensure that the statutory recognition of electronic communication is accompanied by robust data protection measures</w:t>
      </w:r>
      <w:r>
        <w:rPr>
          <w:rStyle w:val="FootnoteReference"/>
          <w:rFonts w:asciiTheme="majorBidi" w:eastAsia="Times New Roman" w:hAnsiTheme="majorBidi" w:cstheme="majorBidi"/>
          <w:color w:val="000000"/>
          <w:lang w:bidi="ar-AE"/>
        </w:rPr>
        <w:footnoteReference w:id="399"/>
      </w:r>
      <w:r>
        <w:rPr>
          <w:rFonts w:asciiTheme="majorBidi" w:eastAsia="Calibri" w:hAnsiTheme="majorBidi" w:cstheme="majorBidi"/>
          <w:color w:val="000000"/>
          <w:lang w:bidi="ar-AE"/>
        </w:rPr>
        <w:t>.</w:t>
      </w:r>
    </w:p>
    <w:p w14:paraId="4C5FB087"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2018 Arbitration Law also addresses the role of national courts in supporting and supervising arbitration, which has implications for privacy and confidentiality in online proceedings. Courts are empowered to assist in matters such as the appointment of arbitrators, the enforcement of interim measures, and the recognition of arbitral awards. In cases where confidential information is at stake, such as trade secrets or sensitive financial data, the involvement of courts raises concerns about whether the confidentiality of arbitral proceedings can be maintained once disputes enter the judicial sphere. Although the law reaffirms the private nature of arbitration, it does not provide explicit safeguards to prevent confidential arbitral data from becoming part of the public court record. This limitation becomes even more pronounced in online arbitration, where large volumes of electronic evidence may need to be reviewed by courts in enforcement or annulment proceedings. The absence of detailed statutory provisions on protecting confidentiality at this stage represents a potential vulnerability in the UAE’s arbitration framework</w:t>
      </w:r>
      <w:r>
        <w:rPr>
          <w:rStyle w:val="FootnoteReference"/>
          <w:rFonts w:asciiTheme="majorBidi" w:eastAsia="Times New Roman" w:hAnsiTheme="majorBidi" w:cstheme="majorBidi"/>
          <w:color w:val="000000"/>
          <w:lang w:bidi="ar-AE"/>
        </w:rPr>
        <w:footnoteReference w:id="400"/>
      </w:r>
      <w:r>
        <w:rPr>
          <w:rFonts w:asciiTheme="majorBidi" w:eastAsia="Calibri" w:hAnsiTheme="majorBidi" w:cstheme="majorBidi"/>
          <w:color w:val="000000"/>
          <w:lang w:bidi="ar-AE"/>
        </w:rPr>
        <w:t>.</w:t>
      </w:r>
    </w:p>
    <w:p w14:paraId="0E03F620"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Despite these gaps, the 2018 Arbitration Law provides a strong structural foundation for the growth of online arbitration in the UAE, particularly when read in conjunction with other legal instruments such as the PDPL of 2021. By endorsing party autonomy, recognizing electronic communications, and embedding the principle of confidentiality, the law equips institutions and tribunals with the flexibility to integrate digital tools while remaining within </w:t>
      </w:r>
      <w:r>
        <w:rPr>
          <w:rFonts w:asciiTheme="majorBidi" w:eastAsia="Calibri" w:hAnsiTheme="majorBidi" w:cstheme="majorBidi"/>
          <w:color w:val="000000"/>
          <w:lang w:bidi="ar-AE"/>
        </w:rPr>
        <w:lastRenderedPageBreak/>
        <w:t>the bounds of enforceable statutory provisions. However, the effectiveness of the law in safeguarding privacy and confidentiality depends heavily on interpretation and implementation by arbitral institutions such as DIAC, ADGM, and ADCCAC. Without detailed protocols that operationalize the law’s general provisions, parties may still face uncertainty about the adequacy of protections in online proceedings. As arbitration in the UAE becomes increasingly international and technologically advanced, there is a pressing need for institutions to supplement the 2018 law with explicit digital security measures that address the unique risks of online dispute resolution</w:t>
      </w:r>
      <w:r>
        <w:rPr>
          <w:rStyle w:val="FootnoteReference"/>
          <w:rFonts w:asciiTheme="majorBidi" w:eastAsia="Times New Roman" w:hAnsiTheme="majorBidi" w:cstheme="majorBidi"/>
          <w:color w:val="000000"/>
          <w:lang w:bidi="ar-AE"/>
        </w:rPr>
        <w:footnoteReference w:id="401"/>
      </w:r>
      <w:r>
        <w:rPr>
          <w:rFonts w:asciiTheme="majorBidi" w:eastAsia="Calibri" w:hAnsiTheme="majorBidi" w:cstheme="majorBidi"/>
          <w:color w:val="000000"/>
          <w:lang w:bidi="ar-AE"/>
        </w:rPr>
        <w:t xml:space="preserve">.The 2018 Arbitration Law and the UAE Personal Data Protection Law (PDPL), when considered in combination, factually found to establish a rather robust statutory framework for regulating confidentiality and data protection in online arbitration. The interplay of these frameworks acts as a guarantee that arbitral institutions and tribunals function within legally explicit boundaries on safeguarding personal data, enforcement of the concept of confidentiality, and recognition of electronic communications. </w:t>
      </w:r>
    </w:p>
    <w:p w14:paraId="4905DD40"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Even though this does not amount to making provisions for a specialised regulatory regime for online arbitration, it is quite exhaustive enough to be effectuated through institutional rules by DIAC, ADGM, or ADCCAC—in addition to ad hoc procedural agreements between parties. If this is corroborated by the qualitative findings of this research study, it would suggest that the existing UAE legal framework has already satisfied all major regulatory requirements dealing with online arbitration—to reduce government intervention at this level.</w:t>
      </w:r>
    </w:p>
    <w:p w14:paraId="0105BFDD" w14:textId="77777777" w:rsidR="00F073C0" w:rsidRPr="008819FD" w:rsidRDefault="00F073C0" w:rsidP="00663759">
      <w:pPr>
        <w:pStyle w:val="Heading2"/>
        <w:rPr>
          <w:rFonts w:asciiTheme="majorBidi" w:hAnsiTheme="majorBidi" w:cstheme="majorBidi"/>
          <w:sz w:val="24"/>
          <w:szCs w:val="24"/>
          <w:lang w:bidi="ar-AE"/>
        </w:rPr>
      </w:pPr>
      <w:bookmarkStart w:id="231" w:name="_Toc209626972"/>
      <w:bookmarkStart w:id="232" w:name="_Toc217491609"/>
      <w:bookmarkStart w:id="233" w:name="_Toc221804556"/>
      <w:r>
        <w:rPr>
          <w:rFonts w:asciiTheme="majorBidi" w:hAnsiTheme="majorBidi" w:cstheme="majorBidi"/>
          <w:sz w:val="24"/>
          <w:szCs w:val="24"/>
          <w:lang w:bidi="ar-AE"/>
        </w:rPr>
        <w:lastRenderedPageBreak/>
        <w:t>Conclusion</w:t>
      </w:r>
      <w:bookmarkEnd w:id="231"/>
      <w:bookmarkEnd w:id="232"/>
      <w:bookmarkEnd w:id="233"/>
    </w:p>
    <w:p w14:paraId="549E2C11"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The analysis undertaken in this chapter has demonstrated that the protection of privacy and confidentiality in online arbitration is no longer a peripheral concern but rather a central pillar for the legitimacy and sustainability of the arbitral process in the digital age. By examining the intersection of technological safeguards, ethical duties, and evolving legal frameworks, it is evident that online arbitration requires a multi-dimensional approach that goes beyond mere institutional protocols. The chapter has shown that while arbitral institutions across the UAE and globally have adopted guidelines on cybersecurity and virtual hearings, these initiatives remain fragmented and often operate in the shadow of broader data protection regimes such as the EU’s GDPR or the UAE’s Federal Decree-Law No. 45 of 2021 on the Protection of Personal Data. The lack of a harmonised global framework continues to pose risks of inconsistency and uncertainty, especially in cross-border disputes involving multiple jurisdictions with divergent legal obligations.</w:t>
      </w:r>
    </w:p>
    <w:p w14:paraId="530D7D84"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A recurring theme in this discussion is the delicate balance between party autonomy and regulatory intervention. Arbitration has traditionally thrived on the principle of autonomy, allowing parties to determine procedures that suit their needs. However, the rise of digital proceedings has introduced risks—such as data breaches, conflicts of interest, and surveillance vulnerabilities—that cannot be addressed solely through party agreements. As shown in the analysis of UAE legislation, the combination of Federal Law No. 6 of 2018 on Arbitration and the PDPL provides a structural foundation for reconciling autonomy with accountability. Yet, both laws fall short in offering detailed guidance tailored to the unique realities of online arbitration. This gap highlights the urgent need for arbitral institutions to integrate statutory </w:t>
      </w:r>
      <w:r>
        <w:rPr>
          <w:rFonts w:asciiTheme="majorBidi" w:eastAsia="Calibri" w:hAnsiTheme="majorBidi" w:cstheme="majorBidi"/>
          <w:color w:val="000000"/>
          <w:lang w:bidi="ar-AE"/>
        </w:rPr>
        <w:lastRenderedPageBreak/>
        <w:t>principles into their procedural rules and technological platforms, ensuring that party autonomy is preserved while systemic safeguards are enforced.</w:t>
      </w:r>
    </w:p>
    <w:p w14:paraId="47950120" w14:textId="77777777" w:rsidR="00F073C0" w:rsidRPr="008819FD" w:rsidRDefault="00F073C0" w:rsidP="00752CD5">
      <w:pPr>
        <w:shd w:val="clear" w:color="auto" w:fill="FFFFFF"/>
        <w:spacing w:line="480" w:lineRule="auto"/>
        <w:ind w:firstLine="720"/>
        <w:rPr>
          <w:rFonts w:asciiTheme="majorBidi" w:eastAsia="Calibri" w:hAnsiTheme="majorBidi" w:cstheme="majorBidi"/>
          <w:color w:val="000000"/>
          <w:lang w:bidi="ar-AE"/>
        </w:rPr>
      </w:pPr>
      <w:r>
        <w:rPr>
          <w:rFonts w:asciiTheme="majorBidi" w:eastAsia="Calibri" w:hAnsiTheme="majorBidi" w:cstheme="majorBidi"/>
          <w:color w:val="000000"/>
          <w:lang w:bidi="ar-AE"/>
        </w:rPr>
        <w:t>Equally significant are the ethical and professional responsibilities of arbitrators and counsel in the digital environment. As the chapter has emphasized, technological competence has become an essential dimension of professional responsibility. Arbitrators must not only remain impartial and independent but also ensure that their proceedings meet reasonable cybersecurity standards. Similarly, counsel must advise clients not only on substantive legal rights but also on the risks associated with the digital transmission of evidence and participation in virtual hearings. These evolving ethical duties underscore the reality that competence in arbitration now includes familiarity with encryption, authentication, and data protection regulations. Without these competencies, the credibility of the arbitral process could be undermined in the eyes of parties who demand both procedural fairness and digital security.</w:t>
      </w:r>
    </w:p>
    <w:p w14:paraId="3A59101A" w14:textId="77777777" w:rsidR="00F073C0" w:rsidRPr="008819FD" w:rsidRDefault="005438D5" w:rsidP="005A4670">
      <w:pPr>
        <w:pStyle w:val="Heading1"/>
        <w:rPr>
          <w:rFonts w:asciiTheme="majorBidi" w:hAnsiTheme="majorBidi" w:cstheme="majorBidi"/>
        </w:rPr>
      </w:pPr>
      <w:bookmarkStart w:id="234" w:name="_Toc221804557"/>
      <w:r>
        <w:rPr>
          <w:rFonts w:asciiTheme="majorBidi" w:hAnsiTheme="majorBidi" w:cstheme="majorBidi"/>
        </w:rPr>
        <w:t>: The Applied Study and Its Methodology</w:t>
      </w:r>
      <w:bookmarkEnd w:id="234"/>
    </w:p>
    <w:p w14:paraId="05CB895E" w14:textId="77777777" w:rsidR="00F073C0" w:rsidRPr="008819FD" w:rsidRDefault="00F073C0" w:rsidP="00663759">
      <w:pPr>
        <w:pStyle w:val="Heading2"/>
        <w:rPr>
          <w:rFonts w:asciiTheme="majorBidi" w:hAnsiTheme="majorBidi" w:cstheme="majorBidi"/>
          <w:sz w:val="24"/>
          <w:szCs w:val="24"/>
        </w:rPr>
      </w:pPr>
      <w:bookmarkStart w:id="235" w:name="_Toc101629024"/>
      <w:bookmarkStart w:id="236" w:name="_Toc113989520"/>
      <w:bookmarkStart w:id="237" w:name="_Toc190813318"/>
      <w:bookmarkStart w:id="238" w:name="_Toc164363294"/>
      <w:r>
        <w:rPr>
          <w:rFonts w:asciiTheme="majorBidi" w:hAnsiTheme="majorBidi" w:cstheme="majorBidi"/>
          <w:sz w:val="24"/>
          <w:szCs w:val="24"/>
        </w:rPr>
        <w:t xml:space="preserve"> </w:t>
      </w:r>
      <w:bookmarkStart w:id="239" w:name="_Toc209626974"/>
      <w:bookmarkStart w:id="240" w:name="_Toc217491611"/>
      <w:bookmarkStart w:id="241" w:name="_Toc221804558"/>
      <w:r>
        <w:rPr>
          <w:rFonts w:asciiTheme="majorBidi" w:hAnsiTheme="majorBidi" w:cstheme="majorBidi"/>
          <w:sz w:val="24"/>
          <w:szCs w:val="24"/>
        </w:rPr>
        <w:t>Introduction</w:t>
      </w:r>
      <w:bookmarkEnd w:id="235"/>
      <w:bookmarkEnd w:id="236"/>
      <w:bookmarkEnd w:id="237"/>
      <w:bookmarkEnd w:id="239"/>
      <w:bookmarkEnd w:id="240"/>
      <w:bookmarkEnd w:id="241"/>
    </w:p>
    <w:p w14:paraId="6C619F68" w14:textId="77777777" w:rsidR="00F073C0" w:rsidRPr="008819FD" w:rsidRDefault="00F073C0" w:rsidP="00311168">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 The research investigated the effectiveness and efficiency of Online Arbitration in the United Arab Emirates and explored whether there was a need for improved government regulation. This chapter described and explained the data that was used in the research and how the data was collected and analysed. It also outlined the research philosophy and justified the research methods, explaining each in detail.</w:t>
      </w:r>
    </w:p>
    <w:p w14:paraId="782D44D3" w14:textId="77777777" w:rsidR="00F073C0" w:rsidRPr="008819FD" w:rsidRDefault="00F073C0" w:rsidP="00663759">
      <w:pPr>
        <w:pStyle w:val="Heading2"/>
        <w:rPr>
          <w:rFonts w:asciiTheme="majorBidi" w:hAnsiTheme="majorBidi" w:cstheme="majorBidi"/>
          <w:sz w:val="24"/>
          <w:szCs w:val="24"/>
        </w:rPr>
      </w:pPr>
      <w:bookmarkStart w:id="242" w:name="_Toc101629025"/>
      <w:bookmarkStart w:id="243" w:name="_Toc113989521"/>
      <w:bookmarkStart w:id="244" w:name="_Toc190813319"/>
      <w:bookmarkStart w:id="245" w:name="_Toc209626975"/>
      <w:bookmarkStart w:id="246" w:name="_Toc217491612"/>
      <w:bookmarkStart w:id="247" w:name="_Toc221804559"/>
      <w:r>
        <w:rPr>
          <w:rFonts w:asciiTheme="majorBidi" w:hAnsiTheme="majorBidi" w:cstheme="majorBidi"/>
          <w:sz w:val="24"/>
          <w:szCs w:val="24"/>
        </w:rPr>
        <w:lastRenderedPageBreak/>
        <w:t>Research Design</w:t>
      </w:r>
      <w:bookmarkEnd w:id="242"/>
      <w:bookmarkEnd w:id="243"/>
      <w:bookmarkEnd w:id="244"/>
      <w:bookmarkEnd w:id="245"/>
      <w:bookmarkEnd w:id="246"/>
      <w:bookmarkEnd w:id="247"/>
      <w:r>
        <w:rPr>
          <w:rFonts w:asciiTheme="majorBidi" w:hAnsiTheme="majorBidi" w:cstheme="majorBidi"/>
          <w:sz w:val="24"/>
          <w:szCs w:val="24"/>
        </w:rPr>
        <w:t xml:space="preserve"> </w:t>
      </w:r>
    </w:p>
    <w:p w14:paraId="7BB65027"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Calibri" w:hAnsiTheme="majorBidi" w:cstheme="majorBidi"/>
          <w:color w:val="000000"/>
        </w:rPr>
        <w:tab/>
      </w:r>
      <w:r>
        <w:rPr>
          <w:rFonts w:asciiTheme="majorBidi" w:eastAsia="Times New Roman" w:hAnsiTheme="majorBidi" w:cstheme="majorBidi"/>
          <w:color w:val="000000"/>
          <w:lang w:val="en-GB"/>
        </w:rPr>
        <w:t xml:space="preserve"> The research design has mixed methods: qualitative, quantitative, and comparative. The qualitative aspect assesses to what degree Online Arbitration in the UAE needs more regulatory measures by analyzing experiences and views of persons who have gone through or are going through arbitration proceedings. Its quantitative dimension carries out a systematic analysis of survey responses to determine patterns, levels of awareness, and perceptions on the effectiveness and security of Online Arbitration mechanisms in the UAE. Such dimensions enabled an appropriate understanding at once of subjective experiences related to the topic under consideration and measurable trends relating to it.</w:t>
      </w:r>
    </w:p>
    <w:p w14:paraId="1C2DF1F7"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To test how strong UAE Online Arbitration rules are, the study used a side-by-side look at the UAE setup and the rules used in the European Union. This allowed for a careful check of likenesses, differences, and gaps in rules. Also, secondary data study was used to make the findings richer and more fitting, making sure that the ends reached were backed by current learning and noted institutional practices.</w:t>
      </w:r>
      <w:r>
        <w:rPr>
          <w:rFonts w:asciiTheme="majorBidi" w:eastAsia="Times New Roman" w:hAnsiTheme="majorBidi" w:cstheme="majorBidi"/>
          <w:color w:val="000000"/>
          <w:vertAlign w:val="superscript"/>
          <w:lang w:val="en-GB"/>
        </w:rPr>
        <w:footnoteReference w:id="402"/>
      </w:r>
    </w:p>
    <w:p w14:paraId="29A845B5"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Calibri" w:hAnsiTheme="majorBidi" w:cstheme="majorBidi"/>
          <w:color w:val="000000"/>
        </w:rPr>
        <w:tab/>
      </w:r>
      <w:r>
        <w:rPr>
          <w:rFonts w:asciiTheme="majorBidi" w:eastAsia="Times New Roman" w:hAnsiTheme="majorBidi" w:cstheme="majorBidi"/>
          <w:color w:val="000000"/>
          <w:lang w:val="en-GB"/>
        </w:rPr>
        <w:t xml:space="preserve">Exploratory research is basically an “inquisitive” process where the researcher investigates, examines, and so on.  In this regard, the research is an “investigative exploration”.  Exploratory researchers can also be an innovative exploration, which involves the collection of data with the aim of combining and exploring or even experimenting with how the phenomenon under investigation can be manipulated to achieve a particular result. This research is therefore both an investigative and innovative exploration. The investigative exploration occurs when data is collected from those who are experiencing or have experienced arbitration in the UAE. The investigative exploration also extends to the </w:t>
      </w:r>
      <w:r>
        <w:rPr>
          <w:rFonts w:asciiTheme="majorBidi" w:eastAsia="Times New Roman" w:hAnsiTheme="majorBidi" w:cstheme="majorBidi"/>
          <w:color w:val="000000"/>
          <w:lang w:val="en-GB"/>
        </w:rPr>
        <w:lastRenderedPageBreak/>
        <w:t>collection of secondary data for comparative purposes.  The innovative exploration takes place when the researcher uses the data and combines the results, and determines how the data can be used in other words, to provide the necessary evidence and logical facts to recommend changes in government regulations of Online Arbitration in the UAE</w:t>
      </w:r>
      <w:r>
        <w:rPr>
          <w:rStyle w:val="FootnoteReference"/>
          <w:rFonts w:asciiTheme="majorBidi" w:eastAsia="Times New Roman" w:hAnsiTheme="majorBidi" w:cstheme="majorBidi"/>
          <w:color w:val="000000"/>
          <w:lang w:val="en-GB"/>
        </w:rPr>
        <w:footnoteReference w:id="403"/>
      </w:r>
      <w:r>
        <w:rPr>
          <w:rFonts w:asciiTheme="majorBidi" w:eastAsia="Times New Roman" w:hAnsiTheme="majorBidi" w:cstheme="majorBidi"/>
          <w:color w:val="000000"/>
          <w:lang w:val="en-GB"/>
        </w:rPr>
        <w:t xml:space="preserve"> </w:t>
      </w:r>
    </w:p>
    <w:p w14:paraId="3786F457"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 xml:space="preserve">Descriptive research examines a phenomenon in its present state. The descriptive researcher identifies the “attributes of a particular phenomenon based on an observational basis”. This research is descriptive because, upon the collection and analysis of data, this research describes the Online Arbitration legal framework as it is and the need for government regulation. </w:t>
      </w:r>
    </w:p>
    <w:p w14:paraId="4F58814D"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 xml:space="preserve">The qualitative data will be collected from a phenomenological perspective. Phenomenology deals with studying “that which can be experienced”.  However, cautions that settling for this definition of phenomenology leaves the meaning too wide for application. It is therefore important to remember that “phenomenon” comes from two Greek words. The two Greek words are “phainein”, which refers to bringing to light, and “phainesthai”, which refers to “that which appears”. A phenomenon is anything “can be experienced in some sort of way. The term logos also has Greek origins and refers to “thought of discourse about a subject,” and as such, logos can be “descriptive, natural, scientific, dialectic, analytic, or aesthetic,” all of which are studies or science </w:t>
      </w:r>
      <w:r>
        <w:rPr>
          <w:rStyle w:val="FootnoteReference"/>
          <w:rFonts w:asciiTheme="majorBidi" w:eastAsia="Times New Roman" w:hAnsiTheme="majorBidi" w:cstheme="majorBidi"/>
          <w:color w:val="000000"/>
          <w:lang w:val="en-GB"/>
        </w:rPr>
        <w:footnoteReference w:id="404"/>
      </w:r>
    </w:p>
    <w:p w14:paraId="11653CB2"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 xml:space="preserve">This study therefore uses a mixed methodology comprising phenomenological qualitative aspects with a supplementary quantitative aspect. The qualitative side of this research utilises the phenomenological approach through which detailed information is </w:t>
      </w:r>
      <w:r>
        <w:rPr>
          <w:rFonts w:asciiTheme="majorBidi" w:eastAsia="Times New Roman" w:hAnsiTheme="majorBidi" w:cstheme="majorBidi"/>
          <w:color w:val="000000"/>
          <w:lang w:val="en-GB"/>
        </w:rPr>
        <w:lastRenderedPageBreak/>
        <w:t>obtained from those participants who have used or are using Online Arbitration in UAE. Their real-time experiences help the researcher in identifying and understanding the strengths, weaknesses, and practical challenges related to that system which currently exists as Online Arbitration. Based on their experience, they can judge whether proposed interventions by government regulation would make Online Arbitration more effective, efficient, and confidential as well as raise its overall integrity within the UAE.</w:t>
      </w:r>
    </w:p>
    <w:p w14:paraId="73D62458" w14:textId="77777777" w:rsidR="00F073C0" w:rsidRPr="008819FD" w:rsidRDefault="002D4C18" w:rsidP="009F5ACD">
      <w:pPr>
        <w:pStyle w:val="Heading3"/>
        <w:rPr>
          <w:rFonts w:asciiTheme="majorBidi" w:hAnsiTheme="majorBidi" w:cstheme="majorBidi"/>
        </w:rPr>
      </w:pPr>
      <w:bookmarkStart w:id="248" w:name="_Toc101629026"/>
      <w:bookmarkStart w:id="249" w:name="_Toc113989522"/>
      <w:bookmarkStart w:id="250" w:name="_Toc190813320"/>
      <w:bookmarkStart w:id="251" w:name="_Toc209626976"/>
      <w:bookmarkStart w:id="252" w:name="_Toc217491613"/>
      <w:bookmarkStart w:id="253" w:name="_Toc221804560"/>
      <w:r>
        <w:rPr>
          <w:rFonts w:asciiTheme="majorBidi" w:eastAsia="Times New Roman" w:hAnsiTheme="majorBidi" w:cstheme="majorBidi"/>
        </w:rPr>
        <w:t xml:space="preserve">5.2.1 </w:t>
      </w:r>
      <w:r>
        <w:rPr>
          <w:rFonts w:asciiTheme="majorBidi" w:hAnsiTheme="majorBidi" w:cstheme="majorBidi"/>
        </w:rPr>
        <w:t>Data Collection</w:t>
      </w:r>
      <w:bookmarkEnd w:id="248"/>
      <w:bookmarkEnd w:id="249"/>
      <w:bookmarkEnd w:id="250"/>
      <w:bookmarkEnd w:id="251"/>
      <w:bookmarkEnd w:id="252"/>
      <w:bookmarkEnd w:id="253"/>
      <w:r>
        <w:rPr>
          <w:rFonts w:asciiTheme="majorBidi" w:hAnsiTheme="majorBidi" w:cstheme="majorBidi"/>
        </w:rPr>
        <w:t xml:space="preserve"> </w:t>
      </w:r>
    </w:p>
    <w:p w14:paraId="793D4032" w14:textId="2674DBEF" w:rsidR="00F073C0" w:rsidRPr="008819FD" w:rsidRDefault="00F073C0" w:rsidP="000851F5">
      <w:pPr>
        <w:shd w:val="clear" w:color="auto" w:fill="FFFFFF"/>
        <w:spacing w:line="480" w:lineRule="auto"/>
        <w:ind w:firstLine="720"/>
        <w:rPr>
          <w:rFonts w:asciiTheme="majorBidi" w:eastAsia="Times New Roman" w:hAnsiTheme="majorBidi" w:cstheme="majorBidi"/>
          <w:color w:val="000000"/>
          <w:lang w:bidi="ar-AE"/>
        </w:rPr>
      </w:pPr>
      <w:r>
        <w:rPr>
          <w:rFonts w:asciiTheme="majorBidi" w:eastAsia="Calibri" w:hAnsiTheme="majorBidi" w:cstheme="majorBidi"/>
          <w:b/>
          <w:bCs/>
          <w:color w:val="000000"/>
        </w:rPr>
        <w:tab/>
      </w:r>
      <w:r>
        <w:rPr>
          <w:rFonts w:asciiTheme="majorBidi" w:eastAsia="Times New Roman" w:hAnsiTheme="majorBidi" w:cstheme="majorBidi"/>
          <w:color w:val="000000"/>
          <w:lang w:val="en-GB"/>
        </w:rPr>
        <w:t xml:space="preserve"> Empirical and secondary data were collected in this research. The primary empirical data were obtained through two key instruments. First, semi-structured interviews were conducted with 15 experts, including arbitrators, legal practitioners, and professionals engaged in the operations of the Dubai International Arbitration Centre  (DIAC), the</w:t>
      </w:r>
      <w:r w:rsidR="000851F5">
        <w:rPr>
          <w:rFonts w:asciiTheme="majorBidi" w:eastAsia="Times New Roman" w:hAnsiTheme="majorBidi" w:cstheme="majorBidi"/>
          <w:color w:val="000000"/>
          <w:lang w:val="en-GB"/>
        </w:rPr>
        <w:t>ADGM Dispute Resolution Hearing Centre (DRHC)</w:t>
      </w:r>
      <w:r>
        <w:rPr>
          <w:rFonts w:asciiTheme="majorBidi" w:eastAsia="Times New Roman" w:hAnsiTheme="majorBidi" w:cstheme="majorBidi"/>
          <w:color w:val="000000"/>
          <w:lang w:val="en-GB"/>
        </w:rPr>
        <w:t>, and the Sharjah International Commercial Arbitration Centre . These interviews provided in-depth qualitative insights into the practical challenges, experiences, and perspectives regarding the effectiveness and efficiency of online arbitration in the UAE.</w:t>
      </w:r>
      <w:r>
        <w:rPr>
          <w:rFonts w:asciiTheme="majorBidi" w:eastAsia="Times New Roman" w:hAnsiTheme="majorBidi" w:cstheme="majorBidi"/>
          <w:color w:val="000000"/>
          <w:lang w:bidi="ar-AE"/>
        </w:rPr>
        <w:t xml:space="preserve"> Second, a structured questionnaire was distributed to 45 specialists in the field of arbitration, which generated quantitative data that complemented the interviews and helped validate the findings through a broader professional sample. The combination of interviews and the survey allowed the study to capture both qualitative depth and quantitative representativeness.</w:t>
      </w:r>
    </w:p>
    <w:p w14:paraId="3DD4C4A9"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hAnsiTheme="majorBidi" w:cstheme="majorBidi"/>
        </w:rPr>
        <w:t xml:space="preserve">The method involves doctrinal legal analysis joined by empirical data garnered via a structured quantitative survey and interviews of arbitration practitioners, legal counsels, and institutional representatives. </w:t>
      </w:r>
    </w:p>
    <w:p w14:paraId="26896309"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lastRenderedPageBreak/>
        <w:t>In addition to empirical data, the research also relied on secondary data analysis, which was drawn from academic journals, textbooks, legal commentaries, and other archived data reported in the literature. Secondary data, as described in the methodology, refers to data collected by other researchers for different purposes but which are relevant to the present study. This included legal cases and scholarly commentary on arbitration law, both within the UAE and in comparative jurisdictions such as the EU, which enriched the analysis and supported the empirical findings.</w:t>
      </w:r>
    </w:p>
    <w:p w14:paraId="7FA9095D" w14:textId="77777777" w:rsidR="00F073C0" w:rsidRPr="008819FD" w:rsidRDefault="002D4C18" w:rsidP="009F5ACD">
      <w:pPr>
        <w:pStyle w:val="Heading3"/>
        <w:rPr>
          <w:rFonts w:asciiTheme="majorBidi" w:hAnsiTheme="majorBidi" w:cstheme="majorBidi"/>
        </w:rPr>
      </w:pPr>
      <w:bookmarkStart w:id="254" w:name="_Toc209626977"/>
      <w:bookmarkStart w:id="255" w:name="_Toc217491614"/>
      <w:bookmarkStart w:id="256" w:name="_Toc221804561"/>
      <w:r>
        <w:rPr>
          <w:rFonts w:asciiTheme="majorBidi" w:eastAsia="Times New Roman" w:hAnsiTheme="majorBidi" w:cstheme="majorBidi"/>
        </w:rPr>
        <w:t xml:space="preserve">5.2.2 </w:t>
      </w:r>
      <w:r>
        <w:rPr>
          <w:rFonts w:asciiTheme="majorBidi" w:hAnsiTheme="majorBidi" w:cstheme="majorBidi"/>
        </w:rPr>
        <w:t>Population and Sample of the Study</w:t>
      </w:r>
      <w:bookmarkEnd w:id="254"/>
      <w:bookmarkEnd w:id="255"/>
      <w:bookmarkEnd w:id="256"/>
    </w:p>
    <w:p w14:paraId="12D91E5D" w14:textId="77777777" w:rsidR="00F073C0" w:rsidRPr="008819FD" w:rsidRDefault="00F073C0" w:rsidP="00311168">
      <w:pPr>
        <w:spacing w:before="100" w:beforeAutospacing="1" w:after="100" w:afterAutospacing="1" w:line="240" w:lineRule="auto"/>
        <w:ind w:firstLine="720"/>
        <w:rPr>
          <w:rFonts w:asciiTheme="majorBidi" w:eastAsia="Times New Roman" w:hAnsiTheme="majorBidi" w:cstheme="majorBidi"/>
        </w:rPr>
      </w:pPr>
      <w:r>
        <w:rPr>
          <w:rFonts w:asciiTheme="majorBidi" w:eastAsia="Times New Roman" w:hAnsiTheme="majorBidi" w:cstheme="majorBidi"/>
        </w:rPr>
        <w:t>This study relied on two complementary samples: a qualitative sample and a quantitative sample.</w:t>
      </w:r>
    </w:p>
    <w:p w14:paraId="2E6E86B7" w14:textId="77777777" w:rsidR="00F073C0" w:rsidRPr="008819FD" w:rsidRDefault="00F073C0" w:rsidP="00311168">
      <w:pPr>
        <w:spacing w:before="100" w:beforeAutospacing="1" w:after="100" w:afterAutospacing="1" w:line="480" w:lineRule="auto"/>
        <w:ind w:firstLine="720"/>
        <w:rPr>
          <w:rFonts w:asciiTheme="majorBidi" w:eastAsia="Times New Roman" w:hAnsiTheme="majorBidi" w:cstheme="majorBidi"/>
        </w:rPr>
      </w:pPr>
      <w:r>
        <w:rPr>
          <w:rFonts w:asciiTheme="majorBidi" w:eastAsia="Times New Roman" w:hAnsiTheme="majorBidi" w:cstheme="majorBidi"/>
          <w:b/>
          <w:bCs/>
        </w:rPr>
        <w:t>First: The Qualitative Sample</w:t>
      </w:r>
    </w:p>
    <w:p w14:paraId="6132E568"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This study relied on a purposive sample consisting of fifteen (15) experts in the field of arbitration. The participants were carefully selected to ensure diversity in professional background and expertise, thereby providing balanced and comprehensive insights into the effectiveness and efficiency of online arbitration in the United Arab Emirates. The sample included practitioners from centres, academics from leading universities, and practicing lawyers, as detailed in the table 1 below:</w:t>
      </w:r>
    </w:p>
    <w:p w14:paraId="7897B932" w14:textId="0368F1BF" w:rsidR="00F073C0" w:rsidRPr="008819FD" w:rsidRDefault="00F073C0" w:rsidP="00CA2D0F">
      <w:pPr>
        <w:pStyle w:val="Caption"/>
        <w:rPr>
          <w:rFonts w:asciiTheme="majorBidi" w:hAnsiTheme="majorBidi" w:cstheme="majorBidi"/>
          <w:i/>
          <w:iCs/>
          <w:rtl/>
          <w:lang w:bidi="ar-JO"/>
        </w:rPr>
      </w:pPr>
      <w:bookmarkStart w:id="257" w:name="_Toc219753434"/>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1</w:t>
      </w:r>
      <w:r>
        <w:rPr>
          <w:rFonts w:asciiTheme="majorBidi" w:hAnsiTheme="majorBidi" w:cstheme="majorBidi"/>
          <w:b/>
        </w:rPr>
        <w:fldChar w:fldCharType="end"/>
      </w:r>
      <w:r>
        <w:rPr>
          <w:rFonts w:asciiTheme="majorBidi" w:hAnsiTheme="majorBidi" w:cstheme="majorBidi"/>
        </w:rPr>
        <w:br/>
      </w:r>
      <w:bookmarkEnd w:id="257"/>
      <w:r>
        <w:rPr>
          <w:rFonts w:asciiTheme="majorBidi" w:hAnsiTheme="majorBidi" w:cstheme="majorBidi"/>
          <w:i/>
          <w:iCs/>
        </w:rPr>
        <w:t>Demographic Profile of Survey Participants</w:t>
      </w:r>
    </w:p>
    <w:tbl>
      <w:tblPr>
        <w:tblW w:w="5000" w:type="pct"/>
        <w:jc w:val="center"/>
        <w:tblBorders>
          <w:top w:val="single" w:sz="4" w:space="0" w:color="auto"/>
          <w:bottom w:val="single" w:sz="4" w:space="0" w:color="auto"/>
        </w:tblBorders>
        <w:tblLook w:val="04A0" w:firstRow="1" w:lastRow="0" w:firstColumn="1" w:lastColumn="0" w:noHBand="0" w:noVBand="1"/>
      </w:tblPr>
      <w:tblGrid>
        <w:gridCol w:w="2838"/>
        <w:gridCol w:w="2605"/>
        <w:gridCol w:w="3678"/>
      </w:tblGrid>
      <w:tr w:rsidR="00F073C0" w:rsidRPr="008819FD" w14:paraId="3BC20E31" w14:textId="77777777" w:rsidTr="008B409F">
        <w:trPr>
          <w:trHeight w:val="1087"/>
          <w:jc w:val="center"/>
        </w:trPr>
        <w:tc>
          <w:tcPr>
            <w:tcW w:w="1556" w:type="pct"/>
            <w:vAlign w:val="center"/>
            <w:hideMark/>
          </w:tcPr>
          <w:p w14:paraId="6FA89B03" w14:textId="77777777" w:rsidR="00F073C0" w:rsidRPr="008819FD" w:rsidRDefault="00F073C0" w:rsidP="0099552A">
            <w:pPr>
              <w:shd w:val="clear" w:color="auto" w:fill="FFFFFF"/>
              <w:spacing w:line="480" w:lineRule="auto"/>
              <w:rPr>
                <w:rFonts w:asciiTheme="majorBidi" w:eastAsia="Times New Roman" w:hAnsiTheme="majorBidi" w:cstheme="majorBidi"/>
                <w:b/>
                <w:color w:val="000000"/>
                <w:lang w:bidi="ar-AE"/>
              </w:rPr>
            </w:pPr>
            <w:r>
              <w:rPr>
                <w:rFonts w:asciiTheme="majorBidi" w:eastAsia="Times New Roman" w:hAnsiTheme="majorBidi" w:cstheme="majorBidi"/>
                <w:b/>
                <w:color w:val="000000"/>
                <w:lang w:bidi="ar-AE"/>
              </w:rPr>
              <w:t>Institution / Category</w:t>
            </w:r>
          </w:p>
        </w:tc>
        <w:tc>
          <w:tcPr>
            <w:tcW w:w="1428" w:type="pct"/>
            <w:vAlign w:val="center"/>
            <w:hideMark/>
          </w:tcPr>
          <w:p w14:paraId="324FB901" w14:textId="77777777" w:rsidR="00F073C0" w:rsidRPr="008819FD" w:rsidRDefault="00F073C0" w:rsidP="0099552A">
            <w:pPr>
              <w:shd w:val="clear" w:color="auto" w:fill="FFFFFF"/>
              <w:spacing w:line="480" w:lineRule="auto"/>
              <w:rPr>
                <w:rFonts w:asciiTheme="majorBidi" w:eastAsia="Times New Roman" w:hAnsiTheme="majorBidi" w:cstheme="majorBidi"/>
                <w:b/>
                <w:color w:val="000000"/>
                <w:lang w:bidi="ar-AE"/>
              </w:rPr>
            </w:pPr>
            <w:r>
              <w:rPr>
                <w:rFonts w:asciiTheme="majorBidi" w:eastAsia="Times New Roman" w:hAnsiTheme="majorBidi" w:cstheme="majorBidi"/>
                <w:b/>
                <w:color w:val="000000"/>
                <w:lang w:bidi="ar-AE"/>
              </w:rPr>
              <w:t>Number of Participants</w:t>
            </w:r>
          </w:p>
        </w:tc>
        <w:tc>
          <w:tcPr>
            <w:tcW w:w="2016" w:type="pct"/>
            <w:vAlign w:val="center"/>
            <w:hideMark/>
          </w:tcPr>
          <w:p w14:paraId="37791908" w14:textId="77777777" w:rsidR="00F073C0" w:rsidRPr="008819FD" w:rsidRDefault="00F073C0" w:rsidP="0099552A">
            <w:pPr>
              <w:shd w:val="clear" w:color="auto" w:fill="FFFFFF"/>
              <w:spacing w:line="480" w:lineRule="auto"/>
              <w:rPr>
                <w:rFonts w:asciiTheme="majorBidi" w:eastAsia="Times New Roman" w:hAnsiTheme="majorBidi" w:cstheme="majorBidi"/>
                <w:b/>
                <w:color w:val="000000"/>
                <w:lang w:bidi="ar-AE"/>
              </w:rPr>
            </w:pPr>
            <w:r>
              <w:rPr>
                <w:rFonts w:asciiTheme="majorBidi" w:eastAsia="Times New Roman" w:hAnsiTheme="majorBidi" w:cstheme="majorBidi"/>
                <w:b/>
                <w:color w:val="000000"/>
                <w:lang w:bidi="ar-AE"/>
              </w:rPr>
              <w:t>Target Group</w:t>
            </w:r>
          </w:p>
        </w:tc>
      </w:tr>
      <w:tr w:rsidR="00F073C0" w:rsidRPr="008819FD" w14:paraId="42CA2153" w14:textId="77777777" w:rsidTr="008B409F">
        <w:trPr>
          <w:trHeight w:val="1537"/>
          <w:jc w:val="center"/>
        </w:trPr>
        <w:tc>
          <w:tcPr>
            <w:tcW w:w="1556" w:type="pct"/>
            <w:vAlign w:val="center"/>
            <w:hideMark/>
          </w:tcPr>
          <w:p w14:paraId="1EA72FD1" w14:textId="6C262B46" w:rsidR="00F073C0" w:rsidRPr="008819FD" w:rsidRDefault="000851F5"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lastRenderedPageBreak/>
              <w:t>ADGM Dispute Resolution Hearing Centre</w:t>
            </w:r>
          </w:p>
        </w:tc>
        <w:tc>
          <w:tcPr>
            <w:tcW w:w="1428" w:type="pct"/>
            <w:vAlign w:val="center"/>
            <w:hideMark/>
          </w:tcPr>
          <w:p w14:paraId="0EE21961"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3</w:t>
            </w:r>
          </w:p>
        </w:tc>
        <w:tc>
          <w:tcPr>
            <w:tcW w:w="2016" w:type="pct"/>
            <w:vAlign w:val="center"/>
            <w:hideMark/>
          </w:tcPr>
          <w:p w14:paraId="12F45769"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Arbitrators and experts are directly engaged in case management</w:t>
            </w:r>
          </w:p>
        </w:tc>
      </w:tr>
      <w:tr w:rsidR="00F073C0" w:rsidRPr="008819FD" w14:paraId="554BDC63" w14:textId="77777777" w:rsidTr="008B409F">
        <w:trPr>
          <w:trHeight w:val="1087"/>
          <w:jc w:val="center"/>
        </w:trPr>
        <w:tc>
          <w:tcPr>
            <w:tcW w:w="1556" w:type="pct"/>
            <w:vAlign w:val="center"/>
            <w:hideMark/>
          </w:tcPr>
          <w:p w14:paraId="5F6D403F"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Dubai International Arbitration Centre  (DIAC)</w:t>
            </w:r>
          </w:p>
        </w:tc>
        <w:tc>
          <w:tcPr>
            <w:tcW w:w="1428" w:type="pct"/>
            <w:vAlign w:val="center"/>
            <w:hideMark/>
          </w:tcPr>
          <w:p w14:paraId="7D469B95"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3</w:t>
            </w:r>
          </w:p>
        </w:tc>
        <w:tc>
          <w:tcPr>
            <w:tcW w:w="2016" w:type="pct"/>
            <w:vAlign w:val="center"/>
            <w:hideMark/>
          </w:tcPr>
          <w:p w14:paraId="18CB9626"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Practitioners specializing in digital arbitration proceedings</w:t>
            </w:r>
          </w:p>
        </w:tc>
      </w:tr>
      <w:tr w:rsidR="00F073C0" w:rsidRPr="008819FD" w14:paraId="36ED6E88" w14:textId="77777777" w:rsidTr="008B409F">
        <w:trPr>
          <w:trHeight w:val="1537"/>
          <w:jc w:val="center"/>
        </w:trPr>
        <w:tc>
          <w:tcPr>
            <w:tcW w:w="1556" w:type="pct"/>
            <w:vAlign w:val="center"/>
            <w:hideMark/>
          </w:tcPr>
          <w:p w14:paraId="5A529EBA"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Public Universities (UAE University, University of Sharjah)</w:t>
            </w:r>
          </w:p>
        </w:tc>
        <w:tc>
          <w:tcPr>
            <w:tcW w:w="1428" w:type="pct"/>
            <w:vAlign w:val="center"/>
            <w:hideMark/>
          </w:tcPr>
          <w:p w14:paraId="2EA01A77"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5</w:t>
            </w:r>
          </w:p>
        </w:tc>
        <w:tc>
          <w:tcPr>
            <w:tcW w:w="2016" w:type="pct"/>
            <w:vAlign w:val="center"/>
            <w:hideMark/>
          </w:tcPr>
          <w:p w14:paraId="4F24195A"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Academics and researchers in law and commercial arbitration</w:t>
            </w:r>
          </w:p>
        </w:tc>
      </w:tr>
      <w:tr w:rsidR="00F073C0" w:rsidRPr="008819FD" w14:paraId="152EDF4F" w14:textId="77777777" w:rsidTr="008B409F">
        <w:trPr>
          <w:trHeight w:val="1087"/>
          <w:jc w:val="center"/>
        </w:trPr>
        <w:tc>
          <w:tcPr>
            <w:tcW w:w="1556" w:type="pct"/>
            <w:vAlign w:val="center"/>
            <w:hideMark/>
          </w:tcPr>
          <w:p w14:paraId="4DB63345"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Practicing Lawyers</w:t>
            </w:r>
          </w:p>
        </w:tc>
        <w:tc>
          <w:tcPr>
            <w:tcW w:w="1428" w:type="pct"/>
            <w:vAlign w:val="center"/>
            <w:hideMark/>
          </w:tcPr>
          <w:p w14:paraId="61D9AC11"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4</w:t>
            </w:r>
          </w:p>
        </w:tc>
        <w:tc>
          <w:tcPr>
            <w:tcW w:w="2016" w:type="pct"/>
            <w:vAlign w:val="center"/>
            <w:hideMark/>
          </w:tcPr>
          <w:p w14:paraId="76AAE562"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Legal professionals handling commercial arbitration disputes</w:t>
            </w:r>
          </w:p>
        </w:tc>
      </w:tr>
    </w:tbl>
    <w:p w14:paraId="4239932B" w14:textId="77777777" w:rsidR="00F073C0" w:rsidRPr="008819FD" w:rsidRDefault="00F073C0" w:rsidP="00D57F72">
      <w:pPr>
        <w:shd w:val="clear" w:color="auto" w:fill="FFFFFF"/>
        <w:spacing w:line="480" w:lineRule="auto"/>
        <w:ind w:firstLine="360"/>
        <w:rPr>
          <w:rFonts w:asciiTheme="majorBidi" w:eastAsia="Times New Roman" w:hAnsiTheme="majorBidi" w:cstheme="majorBidi"/>
          <w:color w:val="000000"/>
          <w:lang w:bidi="ar-AE"/>
        </w:rPr>
      </w:pPr>
    </w:p>
    <w:p w14:paraId="35CFBEAD"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 xml:space="preserve">The rationale for selecting this sample is threefold. First, the diversity of expertise allows the study to capture perspectives from institutional arbitrators, academic scholars, and legal practitioners, thereby enriching the analysis with both theoretical and practical viewpoints. Second, the relevance to the research topic ensures that all participants are directly involved in arbitration practice or scholarship in the UAE, which guarantees the accuracy and contextual significance of the data collected. Third, the composition of the sample reflects a balanced representation of the arbitration ecosystem in the UAE, combining institutional, academic, and professional perspectives. This balance is crucial for evaluating online arbitration as a comprehensive phenomenon that spans procedural rules, regulatory frameworks, and professional practices. Finally, the deliberate focus on UAE-based </w:t>
      </w:r>
      <w:r>
        <w:rPr>
          <w:rFonts w:asciiTheme="majorBidi" w:eastAsia="Times New Roman" w:hAnsiTheme="majorBidi" w:cstheme="majorBidi"/>
          <w:color w:val="000000"/>
          <w:lang w:bidi="ar-AE"/>
        </w:rPr>
        <w:lastRenderedPageBreak/>
        <w:t>institutions and professionals aligns with the study’s objective of assessing the adequacy of the national legal and institutional framework in addressing data protection and confidentiality challenges in online arbitration.</w:t>
      </w:r>
    </w:p>
    <w:p w14:paraId="7DD2B575"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b/>
          <w:bCs/>
          <w:color w:val="000000"/>
          <w:lang w:bidi="ar-AE"/>
        </w:rPr>
      </w:pPr>
      <w:r>
        <w:rPr>
          <w:rFonts w:asciiTheme="majorBidi" w:eastAsia="Times New Roman" w:hAnsiTheme="majorBidi" w:cstheme="majorBidi"/>
          <w:b/>
          <w:bCs/>
          <w:color w:val="000000"/>
          <w:lang w:bidi="ar-AE"/>
        </w:rPr>
        <w:t>Second: The Quantitative Sample</w:t>
      </w:r>
    </w:p>
    <w:p w14:paraId="178835B4"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 xml:space="preserve">The quantitative component of the study was based on a structured questionnaire distributed to 45 specialists in arbitration, including arbitrators, legal consultants, and academics as described in </w:t>
      </w:r>
      <w:r>
        <w:rPr>
          <w:rFonts w:asciiTheme="majorBidi" w:eastAsia="Times New Roman" w:hAnsiTheme="majorBidi" w:cstheme="majorBidi"/>
          <w:b/>
          <w:bCs/>
          <w:color w:val="000000"/>
          <w:lang w:bidi="ar-AE"/>
        </w:rPr>
        <w:t>Appendix Survey</w:t>
      </w:r>
      <w:r>
        <w:rPr>
          <w:rFonts w:asciiTheme="majorBidi" w:eastAsia="Times New Roman" w:hAnsiTheme="majorBidi" w:cstheme="majorBidi"/>
          <w:color w:val="000000"/>
          <w:lang w:bidi="ar-AE"/>
        </w:rPr>
        <w:t>. The questionnaire was designed to measure perceptions of the efficiency, effectiveness, and challenges of online arbitration in the UAE, with particular emphasis on issues of confidentiality, data protection, and institutional adequacy. This broader sample ensured statistical reliability and complemented the qualitative findings by capturing a wider spectrum of professional opinions.</w:t>
      </w:r>
    </w:p>
    <w:p w14:paraId="5F80F8F4"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bidi="ar-AE"/>
        </w:rPr>
      </w:pPr>
      <w:r>
        <w:rPr>
          <w:rFonts w:asciiTheme="majorBidi" w:eastAsia="Times New Roman" w:hAnsiTheme="majorBidi" w:cstheme="majorBidi"/>
          <w:color w:val="000000"/>
          <w:lang w:bidi="ar-AE"/>
        </w:rPr>
        <w:t>The integration of both qualitative and quantitative samples not only provided methodological triangulation but also strengthened the validity of the study’s findings. While the qualitative sample offered in-depth insights and nuanced understanding, the quantitative sample ensured representativeness and generalizability, thereby achieving a comprehensive evaluation of online arbitration practices in the UAE</w:t>
      </w:r>
    </w:p>
    <w:p w14:paraId="71DB9C2D" w14:textId="77777777" w:rsidR="00F073C0" w:rsidRPr="008819FD" w:rsidRDefault="002D4C18" w:rsidP="009F5ACD">
      <w:pPr>
        <w:pStyle w:val="Heading3"/>
        <w:rPr>
          <w:rFonts w:asciiTheme="majorBidi" w:hAnsiTheme="majorBidi" w:cstheme="majorBidi"/>
        </w:rPr>
      </w:pPr>
      <w:bookmarkStart w:id="258" w:name="_Toc101629028"/>
      <w:bookmarkStart w:id="259" w:name="_Toc113989524"/>
      <w:bookmarkStart w:id="260" w:name="_Toc190813321"/>
      <w:bookmarkStart w:id="261" w:name="_Toc209626978"/>
      <w:bookmarkStart w:id="262" w:name="_Toc217491615"/>
      <w:bookmarkStart w:id="263" w:name="_Toc221804562"/>
      <w:r>
        <w:rPr>
          <w:rFonts w:asciiTheme="majorBidi" w:eastAsia="Times New Roman" w:hAnsiTheme="majorBidi" w:cstheme="majorBidi"/>
        </w:rPr>
        <w:t xml:space="preserve">5.2.3 </w:t>
      </w:r>
      <w:r>
        <w:rPr>
          <w:rFonts w:asciiTheme="majorBidi" w:hAnsiTheme="majorBidi" w:cstheme="majorBidi"/>
        </w:rPr>
        <w:t>Research Instrument</w:t>
      </w:r>
      <w:bookmarkEnd w:id="258"/>
      <w:bookmarkEnd w:id="259"/>
      <w:bookmarkEnd w:id="260"/>
      <w:bookmarkEnd w:id="261"/>
      <w:bookmarkEnd w:id="262"/>
      <w:bookmarkEnd w:id="263"/>
    </w:p>
    <w:p w14:paraId="11036E00"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Calibri" w:hAnsiTheme="majorBidi" w:cstheme="majorBidi"/>
          <w:b/>
          <w:bCs/>
          <w:i/>
          <w:iCs/>
          <w:color w:val="000000"/>
        </w:rPr>
        <w:tab/>
      </w:r>
      <w:r>
        <w:rPr>
          <w:rFonts w:asciiTheme="majorBidi" w:eastAsia="Times New Roman" w:hAnsiTheme="majorBidi" w:cstheme="majorBidi"/>
          <w:color w:val="000000"/>
          <w:lang w:val="en-GB"/>
        </w:rPr>
        <w:t xml:space="preserve">The empirical data were collected via semi-structured interviews. The semi-structured interviews are used so that the researcher can go off-script if and when necessary to address new issues that arise during the course of the interviews. The researcher prepares an initial list of interview questions designed to solicit the experiences and perspectives of those </w:t>
      </w:r>
      <w:r>
        <w:rPr>
          <w:rFonts w:asciiTheme="majorBidi" w:eastAsia="Times New Roman" w:hAnsiTheme="majorBidi" w:cstheme="majorBidi"/>
          <w:color w:val="000000"/>
          <w:lang w:val="en-GB"/>
        </w:rPr>
        <w:lastRenderedPageBreak/>
        <w:t xml:space="preserve">who have or are experiencing the arbitration phenomenon in the UAE. The research's initial questions are attached in </w:t>
      </w:r>
      <w:r>
        <w:rPr>
          <w:rFonts w:asciiTheme="majorBidi" w:eastAsia="Times New Roman" w:hAnsiTheme="majorBidi" w:cstheme="majorBidi"/>
          <w:b/>
          <w:bCs/>
          <w:color w:val="000000"/>
          <w:lang w:val="en-GB"/>
        </w:rPr>
        <w:t>Appendix Interview.</w:t>
      </w:r>
      <w:r>
        <w:rPr>
          <w:rFonts w:asciiTheme="majorBidi" w:eastAsia="Times New Roman" w:hAnsiTheme="majorBidi" w:cstheme="majorBidi"/>
          <w:color w:val="000000"/>
          <w:lang w:val="en-GB"/>
        </w:rPr>
        <w:t xml:space="preserve"> </w:t>
      </w:r>
    </w:p>
    <w:p w14:paraId="4B9FAF05" w14:textId="77777777" w:rsidR="00F073C0" w:rsidRPr="008819FD" w:rsidRDefault="00F073C0" w:rsidP="00663759">
      <w:pPr>
        <w:pStyle w:val="Heading2"/>
        <w:rPr>
          <w:rFonts w:asciiTheme="majorBidi" w:hAnsiTheme="majorBidi" w:cstheme="majorBidi"/>
          <w:sz w:val="24"/>
          <w:szCs w:val="24"/>
        </w:rPr>
      </w:pPr>
      <w:bookmarkStart w:id="264" w:name="_Toc101629029"/>
      <w:bookmarkStart w:id="265" w:name="_Toc113989525"/>
      <w:bookmarkStart w:id="266" w:name="_Toc190813322"/>
      <w:bookmarkStart w:id="267" w:name="_Toc209626979"/>
      <w:bookmarkStart w:id="268" w:name="_Toc217491616"/>
      <w:bookmarkStart w:id="269" w:name="_Toc221804563"/>
      <w:r>
        <w:rPr>
          <w:rFonts w:asciiTheme="majorBidi" w:hAnsiTheme="majorBidi" w:cstheme="majorBidi"/>
          <w:sz w:val="24"/>
          <w:szCs w:val="24"/>
        </w:rPr>
        <w:t>Interview Data Collection</w:t>
      </w:r>
      <w:bookmarkEnd w:id="264"/>
      <w:bookmarkEnd w:id="265"/>
      <w:bookmarkEnd w:id="266"/>
      <w:bookmarkEnd w:id="267"/>
      <w:bookmarkEnd w:id="268"/>
      <w:bookmarkEnd w:id="269"/>
    </w:p>
    <w:p w14:paraId="480A356C"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 xml:space="preserve">The interview data was collected by first identifying the appropriate participants for participating in the interviews and approaching them.  The researcher approached the identified target population samples, for example, and not limited to (Arbitrators, Secretaries of the Centre s, and Legal Counsels). The participants are approached and communicated with by e-mail and telephone. At this point, the participants are informed of the study being carried out by the researcher and will be asked if they are interested in participating in interviews for the study. Upon obtaining sufficient interest in participating in the study, the researcher proceeds to set up interviews. </w:t>
      </w:r>
    </w:p>
    <w:p w14:paraId="4AB04B92"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 xml:space="preserve">Ahead of the interview, the researcher prepared a letter of consent (See </w:t>
      </w:r>
      <w:r>
        <w:rPr>
          <w:rFonts w:asciiTheme="majorBidi" w:eastAsia="Times New Roman" w:hAnsiTheme="majorBidi" w:cstheme="majorBidi"/>
          <w:b/>
          <w:bCs/>
          <w:color w:val="000000"/>
          <w:lang w:val="en-GB"/>
        </w:rPr>
        <w:t>Appendix Interview</w:t>
      </w:r>
      <w:r>
        <w:rPr>
          <w:rFonts w:asciiTheme="majorBidi" w:eastAsia="Times New Roman" w:hAnsiTheme="majorBidi" w:cstheme="majorBidi"/>
          <w:color w:val="000000"/>
          <w:lang w:val="en-GB"/>
        </w:rPr>
        <w:t>). The letter of consent informs the targeted study participants of the purpose of the study and the role that they can play in helping the researcher achieve the study's purpose. The consent letter also informed the participants that their identities would be protected and that they were free to withhold consent, and they were also free to withdraw consent at any time after granting it.</w:t>
      </w:r>
      <w:r>
        <w:rPr>
          <w:rStyle w:val="FootnoteReference"/>
          <w:rFonts w:asciiTheme="majorBidi" w:eastAsia="Times New Roman" w:hAnsiTheme="majorBidi" w:cstheme="majorBidi"/>
          <w:color w:val="000000"/>
          <w:lang w:val="en-GB"/>
        </w:rPr>
        <w:footnoteReference w:id="405"/>
      </w:r>
      <w:r>
        <w:rPr>
          <w:rFonts w:asciiTheme="majorBidi" w:eastAsia="Times New Roman" w:hAnsiTheme="majorBidi" w:cstheme="majorBidi"/>
          <w:color w:val="000000"/>
          <w:lang w:val="en-GB"/>
        </w:rPr>
        <w:t xml:space="preserve"> </w:t>
      </w:r>
    </w:p>
    <w:p w14:paraId="685009FC"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 xml:space="preserve">The interviews were set up in a neutral place and were carried out face-to-face.  With the permission of the participants, the interviews are recorded. During the interviews, the researcher takes contemporaneous notes where non-verbal communications are important </w:t>
      </w:r>
      <w:r>
        <w:rPr>
          <w:rFonts w:asciiTheme="majorBidi" w:eastAsia="Times New Roman" w:hAnsiTheme="majorBidi" w:cstheme="majorBidi"/>
          <w:color w:val="000000"/>
          <w:lang w:val="en-GB"/>
        </w:rPr>
        <w:lastRenderedPageBreak/>
        <w:t>clues as to the veracity of statements made. Non-verbal clues are also important for identifying discomfort and holding back important information. Non-verbal cues will help to direct the interview questions as well. Once the interviews are completed, the researcher will transcribe the recorded interviews.</w:t>
      </w:r>
    </w:p>
    <w:p w14:paraId="619C029A" w14:textId="77777777" w:rsidR="00F073C0" w:rsidRPr="008819FD" w:rsidRDefault="002D4C18" w:rsidP="009F5ACD">
      <w:pPr>
        <w:pStyle w:val="Heading3"/>
        <w:rPr>
          <w:rFonts w:asciiTheme="majorBidi" w:hAnsiTheme="majorBidi" w:cstheme="majorBidi"/>
        </w:rPr>
      </w:pPr>
      <w:bookmarkStart w:id="270" w:name="_Toc101629030"/>
      <w:bookmarkStart w:id="271" w:name="_Toc113989526"/>
      <w:bookmarkStart w:id="272" w:name="_Toc190813323"/>
      <w:bookmarkStart w:id="273" w:name="_Toc209626980"/>
      <w:bookmarkStart w:id="274" w:name="_Toc217491617"/>
      <w:bookmarkStart w:id="275" w:name="_Toc221804564"/>
      <w:r>
        <w:rPr>
          <w:rFonts w:asciiTheme="majorBidi" w:eastAsia="Times New Roman" w:hAnsiTheme="majorBidi" w:cstheme="majorBidi"/>
        </w:rPr>
        <w:t xml:space="preserve">5.3.1 </w:t>
      </w:r>
      <w:r>
        <w:rPr>
          <w:rFonts w:asciiTheme="majorBidi" w:hAnsiTheme="majorBidi" w:cstheme="majorBidi"/>
        </w:rPr>
        <w:t>Sampling Technique</w:t>
      </w:r>
      <w:bookmarkEnd w:id="270"/>
      <w:bookmarkEnd w:id="271"/>
      <w:bookmarkEnd w:id="272"/>
      <w:bookmarkEnd w:id="273"/>
      <w:bookmarkEnd w:id="274"/>
      <w:bookmarkEnd w:id="275"/>
    </w:p>
    <w:p w14:paraId="391CCA07"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Calibri" w:hAnsiTheme="majorBidi" w:cstheme="majorBidi"/>
          <w:color w:val="000000"/>
        </w:rPr>
        <w:tab/>
      </w:r>
      <w:r>
        <w:rPr>
          <w:rFonts w:asciiTheme="majorBidi" w:eastAsia="Times New Roman" w:hAnsiTheme="majorBidi" w:cstheme="majorBidi"/>
          <w:color w:val="000000"/>
          <w:lang w:val="en-GB"/>
        </w:rPr>
        <w:t xml:space="preserve">A purposive sampling technique was used for the population data.  A purposive sampling technique involves the creation of an inclusion criterion. The inclusion criterion is established to ensure that participants have the specific knowledge and information that the researcher needs for the study. In this regard, the researcher established the following inclusion criterion: In line with the phenomenological approach to the study, the participants will have to have experienced the phenomenon or are currently experiencing it.  </w:t>
      </w:r>
    </w:p>
    <w:p w14:paraId="207F4097" w14:textId="77777777" w:rsidR="00F073C0" w:rsidRPr="008819FD" w:rsidRDefault="00F073C0" w:rsidP="00E07DAE">
      <w:pPr>
        <w:shd w:val="clear" w:color="auto" w:fill="FFFFFF"/>
        <w:spacing w:line="480" w:lineRule="auto"/>
        <w:ind w:firstLine="720"/>
        <w:rPr>
          <w:rFonts w:asciiTheme="majorBidi" w:eastAsia="Times New Roman" w:hAnsiTheme="majorBidi" w:cstheme="majorBidi"/>
          <w:color w:val="000000"/>
        </w:rPr>
      </w:pPr>
      <w:r>
        <w:rPr>
          <w:rFonts w:asciiTheme="majorBidi" w:eastAsia="Times New Roman" w:hAnsiTheme="majorBidi" w:cstheme="majorBidi"/>
          <w:color w:val="000000"/>
          <w:lang w:val="en-GB"/>
        </w:rPr>
        <w:tab/>
        <w:t>At this point, the target population is 15, and the individuals who will be interviewed will be Centre s</w:t>
      </w:r>
      <w:r>
        <w:rPr>
          <w:rFonts w:asciiTheme="majorBidi" w:eastAsia="Times New Roman" w:hAnsiTheme="majorBidi" w:cstheme="majorBidi"/>
          <w:color w:val="000000"/>
          <w:rtl/>
          <w:lang w:val="en-GB"/>
        </w:rPr>
        <w:t xml:space="preserve"> </w:t>
      </w:r>
      <w:r>
        <w:rPr>
          <w:rFonts w:asciiTheme="majorBidi" w:eastAsia="Times New Roman" w:hAnsiTheme="majorBidi" w:cstheme="majorBidi"/>
          <w:color w:val="000000"/>
        </w:rPr>
        <w:t>and institutions,</w:t>
      </w:r>
      <w:r>
        <w:rPr>
          <w:rFonts w:asciiTheme="majorBidi" w:eastAsia="Times New Roman" w:hAnsiTheme="majorBidi" w:cstheme="majorBidi"/>
          <w:color w:val="000000"/>
          <w:lang w:val="en-GB"/>
        </w:rPr>
        <w:t xml:space="preserve"> administrators, Secretaries, counsel, and Lawyers for opposing parties, and arbitrators.</w:t>
      </w:r>
      <w:r>
        <w:rPr>
          <w:rFonts w:asciiTheme="majorBidi" w:hAnsiTheme="majorBidi" w:cstheme="majorBidi"/>
        </w:rPr>
        <w:t xml:space="preserve"> </w:t>
      </w:r>
    </w:p>
    <w:p w14:paraId="4CDDB6B9" w14:textId="77777777" w:rsidR="00554F7D" w:rsidRPr="008819FD" w:rsidRDefault="00554F7D" w:rsidP="00311168">
      <w:pPr>
        <w:shd w:val="clear" w:color="auto" w:fill="FFFFFF"/>
        <w:spacing w:line="480" w:lineRule="auto"/>
        <w:ind w:firstLine="720"/>
        <w:rPr>
          <w:rFonts w:asciiTheme="majorBidi" w:eastAsia="Times New Roman" w:hAnsiTheme="majorBidi" w:cstheme="majorBidi"/>
          <w:color w:val="000000"/>
        </w:rPr>
      </w:pPr>
    </w:p>
    <w:p w14:paraId="70B7B730" w14:textId="079C5436" w:rsidR="00554F7D" w:rsidRPr="008819FD" w:rsidRDefault="00554F7D" w:rsidP="00554F7D">
      <w:pPr>
        <w:pStyle w:val="Caption"/>
        <w:rPr>
          <w:rFonts w:asciiTheme="majorBidi" w:eastAsia="Calibri" w:hAnsiTheme="majorBidi" w:cstheme="majorBidi"/>
          <w:i/>
          <w:iCs/>
          <w:color w:val="000000"/>
        </w:rPr>
      </w:pPr>
      <w:bookmarkStart w:id="276" w:name="_Toc217740507"/>
      <w:r>
        <w:rPr>
          <w:rFonts w:asciiTheme="majorBidi" w:hAnsiTheme="majorBidi" w:cstheme="majorBidi"/>
          <w:b/>
          <w:bCs w:val="0"/>
        </w:rPr>
        <w:t xml:space="preserve">Figure </w:t>
      </w:r>
      <w:r>
        <w:rPr>
          <w:rFonts w:asciiTheme="majorBidi" w:hAnsiTheme="majorBidi" w:cstheme="majorBidi"/>
          <w:b/>
          <w:bCs w:val="0"/>
        </w:rPr>
        <w:fldChar w:fldCharType="begin"/>
      </w:r>
      <w:r>
        <w:rPr>
          <w:rFonts w:asciiTheme="majorBidi" w:hAnsiTheme="majorBidi" w:cstheme="majorBidi"/>
          <w:b/>
          <w:bCs w:val="0"/>
        </w:rPr>
        <w:instrText xml:space="preserve"> SEQ Figure \* ARABIC </w:instrText>
      </w:r>
      <w:r>
        <w:rPr>
          <w:rFonts w:asciiTheme="majorBidi" w:hAnsiTheme="majorBidi" w:cstheme="majorBidi"/>
          <w:b/>
          <w:bCs w:val="0"/>
        </w:rPr>
        <w:fldChar w:fldCharType="separate"/>
      </w:r>
      <w:r w:rsidR="00B55114">
        <w:rPr>
          <w:rFonts w:asciiTheme="majorBidi" w:hAnsiTheme="majorBidi" w:cstheme="majorBidi"/>
          <w:b/>
          <w:bCs w:val="0"/>
          <w:noProof/>
        </w:rPr>
        <w:t>1</w:t>
      </w:r>
      <w:r>
        <w:rPr>
          <w:rFonts w:asciiTheme="majorBidi" w:hAnsiTheme="majorBidi" w:cstheme="majorBidi"/>
          <w:b/>
          <w:bCs w:val="0"/>
        </w:rPr>
        <w:fldChar w:fldCharType="end"/>
      </w:r>
      <w:r>
        <w:rPr>
          <w:rFonts w:asciiTheme="majorBidi" w:hAnsiTheme="majorBidi" w:cstheme="majorBidi"/>
        </w:rPr>
        <w:br/>
        <w:t xml:space="preserve"> </w:t>
      </w:r>
      <w:bookmarkEnd w:id="276"/>
      <w:r>
        <w:rPr>
          <w:rFonts w:asciiTheme="majorBidi" w:hAnsiTheme="majorBidi" w:cstheme="majorBidi"/>
          <w:i/>
          <w:iCs/>
        </w:rPr>
        <w:t>Sampling Methodology Adopted for Data Collection</w:t>
      </w:r>
    </w:p>
    <w:p w14:paraId="52FBA06D" w14:textId="77777777" w:rsidR="00554F7D" w:rsidRPr="008819FD" w:rsidRDefault="00554F7D" w:rsidP="00311168">
      <w:pPr>
        <w:shd w:val="clear" w:color="auto" w:fill="FFFFFF"/>
        <w:spacing w:line="480" w:lineRule="auto"/>
        <w:ind w:firstLine="720"/>
        <w:rPr>
          <w:rFonts w:asciiTheme="majorBidi" w:eastAsia="Times New Roman" w:hAnsiTheme="majorBidi" w:cstheme="majorBidi"/>
          <w:color w:val="000000"/>
        </w:rPr>
      </w:pPr>
    </w:p>
    <w:p w14:paraId="1A465655" w14:textId="77777777" w:rsidR="00F073C0" w:rsidRPr="008819FD" w:rsidRDefault="00F073C0" w:rsidP="0099552A">
      <w:pPr>
        <w:shd w:val="clear" w:color="auto" w:fill="FFFFFF"/>
        <w:spacing w:line="480" w:lineRule="auto"/>
        <w:rPr>
          <w:rFonts w:asciiTheme="majorBidi" w:eastAsia="Calibri" w:hAnsiTheme="majorBidi" w:cstheme="majorBidi"/>
          <w:color w:val="000000"/>
        </w:rPr>
      </w:pPr>
      <w:r>
        <w:rPr>
          <w:rFonts w:asciiTheme="majorBidi" w:eastAsia="Calibri" w:hAnsiTheme="majorBidi" w:cstheme="majorBidi"/>
          <w:noProof/>
          <w:color w:val="000000"/>
          <w:shd w:val="clear" w:color="auto" w:fill="F2F2F2"/>
        </w:rPr>
        <w:drawing>
          <wp:inline distT="0" distB="0" distL="0" distR="0" wp14:anchorId="0B2EFC6D" wp14:editId="2776C3DA">
            <wp:extent cx="5918200" cy="1332690"/>
            <wp:effectExtent l="0" t="0" r="0" b="5842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76AC177" w14:textId="77777777" w:rsidR="00F073C0" w:rsidRPr="008819FD" w:rsidRDefault="00F073C0" w:rsidP="0099552A">
      <w:pPr>
        <w:shd w:val="clear" w:color="auto" w:fill="FFFFFF"/>
        <w:spacing w:line="480" w:lineRule="auto"/>
        <w:rPr>
          <w:rFonts w:asciiTheme="majorBidi" w:eastAsia="Calibri" w:hAnsiTheme="majorBidi" w:cstheme="majorBidi"/>
          <w:b/>
          <w:bCs/>
          <w:color w:val="000000"/>
        </w:rPr>
      </w:pPr>
    </w:p>
    <w:p w14:paraId="758CA9C0" w14:textId="77777777" w:rsidR="00F073C0" w:rsidRPr="008819FD" w:rsidRDefault="002D4C18" w:rsidP="009F5ACD">
      <w:pPr>
        <w:pStyle w:val="Heading3"/>
        <w:rPr>
          <w:rFonts w:asciiTheme="majorBidi" w:hAnsiTheme="majorBidi" w:cstheme="majorBidi"/>
        </w:rPr>
      </w:pPr>
      <w:bookmarkStart w:id="277" w:name="_Toc190813324"/>
      <w:bookmarkStart w:id="278" w:name="_Toc209626981"/>
      <w:bookmarkStart w:id="279" w:name="_Toc217491618"/>
      <w:bookmarkStart w:id="280" w:name="_Toc221804565"/>
      <w:r>
        <w:rPr>
          <w:rFonts w:asciiTheme="majorBidi" w:eastAsia="Times New Roman" w:hAnsiTheme="majorBidi" w:cstheme="majorBidi"/>
        </w:rPr>
        <w:t xml:space="preserve">5.3.2 </w:t>
      </w:r>
      <w:r>
        <w:rPr>
          <w:rFonts w:asciiTheme="majorBidi" w:hAnsiTheme="majorBidi" w:cstheme="majorBidi"/>
        </w:rPr>
        <w:t>Collection of Secondary Data</w:t>
      </w:r>
      <w:bookmarkEnd w:id="277"/>
      <w:bookmarkEnd w:id="278"/>
      <w:bookmarkEnd w:id="279"/>
      <w:bookmarkEnd w:id="280"/>
    </w:p>
    <w:p w14:paraId="30591B72"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The secondary data was collected via a desk-top, library-based research method. The desk-top, library-research refers to the collection of data via the Virtual, in addition to the university's library books and materials. The use of secondary data via the Virtual has become popular and is being used more frequently.</w:t>
      </w:r>
      <w:r>
        <w:rPr>
          <w:rFonts w:asciiTheme="majorBidi" w:eastAsia="Times New Roman" w:hAnsiTheme="majorBidi" w:cstheme="majorBidi"/>
          <w:color w:val="000000"/>
          <w:vertAlign w:val="superscript"/>
          <w:lang w:val="en-GB"/>
        </w:rPr>
        <w:footnoteReference w:id="406"/>
      </w:r>
      <w:r>
        <w:rPr>
          <w:rFonts w:asciiTheme="majorBidi" w:eastAsia="Times New Roman" w:hAnsiTheme="majorBidi" w:cstheme="majorBidi"/>
          <w:color w:val="000000"/>
          <w:lang w:val="en-GB"/>
        </w:rPr>
        <w:t xml:space="preserve"> </w:t>
      </w:r>
    </w:p>
    <w:p w14:paraId="657E9F15"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rtl/>
          <w:lang w:val="en-GB"/>
        </w:rPr>
      </w:pPr>
      <w:r>
        <w:rPr>
          <w:rFonts w:asciiTheme="majorBidi" w:eastAsia="Times New Roman" w:hAnsiTheme="majorBidi" w:cstheme="majorBidi"/>
          <w:color w:val="000000"/>
          <w:lang w:val="en-GB"/>
        </w:rPr>
        <w:t>Due to advances in technology and communications, much of the data needed for most research projects has already been collected and stored online by another author.  The data are available and accessible, and it makes sense that researchers take advantage of this data for research purposes.</w:t>
      </w:r>
      <w:r>
        <w:rPr>
          <w:rFonts w:asciiTheme="majorBidi" w:eastAsia="Times New Roman" w:hAnsiTheme="majorBidi" w:cstheme="majorBidi"/>
          <w:color w:val="000000"/>
          <w:vertAlign w:val="superscript"/>
          <w:lang w:val="en-GB"/>
        </w:rPr>
        <w:footnoteReference w:id="407"/>
      </w:r>
      <w:r>
        <w:rPr>
          <w:rFonts w:asciiTheme="majorBidi" w:eastAsia="Times New Roman" w:hAnsiTheme="majorBidi" w:cstheme="majorBidi"/>
          <w:color w:val="000000"/>
          <w:lang w:val="en-GB"/>
        </w:rPr>
        <w:t xml:space="preserve">. </w:t>
      </w:r>
    </w:p>
    <w:p w14:paraId="45A9CB16" w14:textId="77777777" w:rsidR="005C4C4E" w:rsidRPr="008819FD" w:rsidRDefault="00F073C0" w:rsidP="00311168">
      <w:pPr>
        <w:shd w:val="clear" w:color="auto" w:fill="FFFFFF"/>
        <w:spacing w:line="480" w:lineRule="auto"/>
        <w:ind w:firstLine="720"/>
        <w:rPr>
          <w:rFonts w:asciiTheme="majorBidi" w:hAnsiTheme="majorBidi" w:cstheme="majorBidi"/>
          <w:color w:val="000000"/>
        </w:rPr>
      </w:pPr>
      <w:r>
        <w:rPr>
          <w:rFonts w:asciiTheme="majorBidi" w:eastAsia="Times New Roman" w:hAnsiTheme="majorBidi" w:cstheme="majorBidi"/>
          <w:color w:val="000000"/>
          <w:lang w:val="en-GB"/>
        </w:rPr>
        <w:t>This research, therefore, takes advantage of the available data for this project. The researcher first establishes an inclusion criterion for determining what data to include in this study. The inclusion criterion is presented below</w:t>
      </w:r>
      <w:r>
        <w:rPr>
          <w:rFonts w:asciiTheme="majorBidi" w:hAnsiTheme="majorBidi" w:cstheme="majorBidi"/>
          <w:color w:val="000000"/>
        </w:rPr>
        <w:t xml:space="preserve"> in table 2.</w:t>
      </w:r>
    </w:p>
    <w:p w14:paraId="1DE0D865" w14:textId="77777777" w:rsidR="00A94B2B" w:rsidRPr="008819FD" w:rsidRDefault="00A94B2B" w:rsidP="00AE74BE">
      <w:pPr>
        <w:shd w:val="clear" w:color="auto" w:fill="FFFFFF"/>
        <w:spacing w:line="480" w:lineRule="auto"/>
        <w:ind w:firstLine="360"/>
        <w:rPr>
          <w:rFonts w:asciiTheme="majorBidi" w:eastAsia="Times New Roman" w:hAnsiTheme="majorBidi" w:cstheme="majorBidi"/>
          <w:color w:val="000000"/>
          <w:lang w:val="en-GB"/>
        </w:rPr>
      </w:pPr>
    </w:p>
    <w:p w14:paraId="55DA6685" w14:textId="7791BAE6" w:rsidR="00F073C0" w:rsidRPr="008819FD" w:rsidRDefault="00F073C0" w:rsidP="00CA2D0F">
      <w:pPr>
        <w:pStyle w:val="Caption"/>
        <w:rPr>
          <w:rFonts w:asciiTheme="majorBidi" w:eastAsia="Times New Roman" w:hAnsiTheme="majorBidi" w:cstheme="majorBidi"/>
          <w:color w:val="000000"/>
          <w:lang w:val="en-GB"/>
        </w:rPr>
      </w:pPr>
      <w:bookmarkStart w:id="281" w:name="_Toc219753435"/>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2</w:t>
      </w:r>
      <w:r>
        <w:rPr>
          <w:rFonts w:asciiTheme="majorBidi" w:hAnsiTheme="majorBidi" w:cstheme="majorBidi"/>
          <w:b/>
        </w:rPr>
        <w:fldChar w:fldCharType="end"/>
      </w:r>
      <w:r>
        <w:rPr>
          <w:rFonts w:asciiTheme="majorBidi" w:hAnsiTheme="majorBidi" w:cstheme="majorBidi"/>
        </w:rPr>
        <w:br/>
      </w:r>
      <w:bookmarkEnd w:id="281"/>
      <w:r>
        <w:rPr>
          <w:rFonts w:asciiTheme="majorBidi" w:hAnsiTheme="majorBidi" w:cstheme="majorBidi"/>
          <w:i/>
          <w:iCs/>
        </w:rPr>
        <w:t>Age Distribution of Respondents</w:t>
      </w:r>
    </w:p>
    <w:tbl>
      <w:tblPr>
        <w:tblStyle w:val="GridTable5Dark"/>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9111"/>
      </w:tblGrid>
      <w:tr w:rsidR="00F073C0" w:rsidRPr="008819FD" w14:paraId="126B1A1B" w14:textId="77777777" w:rsidTr="008B409F">
        <w:trPr>
          <w:cnfStyle w:val="100000000000" w:firstRow="1" w:lastRow="0" w:firstColumn="0" w:lastColumn="0" w:oddVBand="0" w:evenVBand="0" w:oddHBand="0" w:evenHBand="0" w:firstRowFirstColumn="0" w:firstRowLastColumn="0" w:lastRowFirstColumn="0" w:lastRowLastColumn="0"/>
          <w:trHeight w:val="288"/>
          <w:jc w:val="center"/>
        </w:trPr>
        <w:tc>
          <w:tcPr>
            <w:tcW w:w="5000" w:type="pct"/>
            <w:tcBorders>
              <w:top w:val="single" w:sz="4" w:space="0" w:color="auto"/>
              <w:bottom w:val="nil"/>
            </w:tcBorders>
            <w:vAlign w:val="center"/>
          </w:tcPr>
          <w:p w14:paraId="369BCF43" w14:textId="77777777" w:rsidR="00F073C0" w:rsidRPr="008819FD" w:rsidRDefault="00F073C0" w:rsidP="0099552A">
            <w:pPr>
              <w:shd w:val="clear" w:color="auto" w:fill="FFFFFF"/>
              <w:spacing w:after="0" w:line="480" w:lineRule="auto"/>
              <w:rPr>
                <w:rFonts w:asciiTheme="majorBidi" w:eastAsia="Calibri" w:hAnsiTheme="majorBidi" w:cstheme="majorBidi"/>
                <w:b w:val="0"/>
                <w:bCs w:val="0"/>
                <w:color w:val="000000"/>
              </w:rPr>
            </w:pPr>
            <w:r>
              <w:rPr>
                <w:rFonts w:asciiTheme="majorBidi" w:eastAsia="Calibri" w:hAnsiTheme="majorBidi" w:cstheme="majorBidi"/>
                <w:color w:val="000000"/>
              </w:rPr>
              <w:t>INCLUSION CRITERION</w:t>
            </w:r>
          </w:p>
        </w:tc>
      </w:tr>
      <w:tr w:rsidR="00F073C0" w:rsidRPr="008819FD" w14:paraId="5A12D7BA" w14:textId="77777777" w:rsidTr="008B409F">
        <w:trPr>
          <w:trHeight w:val="288"/>
          <w:jc w:val="center"/>
        </w:trPr>
        <w:tc>
          <w:tcPr>
            <w:tcW w:w="5000" w:type="pct"/>
            <w:tcBorders>
              <w:top w:val="nil"/>
              <w:bottom w:val="nil"/>
            </w:tcBorders>
            <w:vAlign w:val="center"/>
          </w:tcPr>
          <w:p w14:paraId="31D52C57"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Relevance</w:t>
            </w:r>
          </w:p>
        </w:tc>
      </w:tr>
      <w:tr w:rsidR="00F073C0" w:rsidRPr="008819FD" w14:paraId="0F568CA6" w14:textId="77777777" w:rsidTr="008B409F">
        <w:trPr>
          <w:trHeight w:val="280"/>
          <w:jc w:val="center"/>
        </w:trPr>
        <w:tc>
          <w:tcPr>
            <w:tcW w:w="5000" w:type="pct"/>
            <w:tcBorders>
              <w:top w:val="nil"/>
              <w:bottom w:val="nil"/>
            </w:tcBorders>
            <w:vAlign w:val="center"/>
          </w:tcPr>
          <w:p w14:paraId="1FEAD769"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Publisher Integrity</w:t>
            </w:r>
          </w:p>
        </w:tc>
      </w:tr>
      <w:tr w:rsidR="00F073C0" w:rsidRPr="008819FD" w14:paraId="6E2CF1C2" w14:textId="77777777" w:rsidTr="008B409F">
        <w:trPr>
          <w:trHeight w:val="288"/>
          <w:jc w:val="center"/>
        </w:trPr>
        <w:tc>
          <w:tcPr>
            <w:tcW w:w="5000" w:type="pct"/>
            <w:tcBorders>
              <w:top w:val="nil"/>
              <w:bottom w:val="nil"/>
            </w:tcBorders>
            <w:vAlign w:val="center"/>
          </w:tcPr>
          <w:p w14:paraId="065E63F2"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Latest data</w:t>
            </w:r>
          </w:p>
        </w:tc>
      </w:tr>
      <w:tr w:rsidR="00F073C0" w:rsidRPr="008819FD" w14:paraId="36182A8C" w14:textId="77777777" w:rsidTr="008B409F">
        <w:trPr>
          <w:trHeight w:val="288"/>
          <w:jc w:val="center"/>
        </w:trPr>
        <w:tc>
          <w:tcPr>
            <w:tcW w:w="5000" w:type="pct"/>
            <w:tcBorders>
              <w:top w:val="nil"/>
              <w:bottom w:val="nil"/>
            </w:tcBorders>
            <w:vAlign w:val="center"/>
          </w:tcPr>
          <w:p w14:paraId="4D439E2E"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lastRenderedPageBreak/>
              <w:t>Research Methodology</w:t>
            </w:r>
          </w:p>
        </w:tc>
      </w:tr>
      <w:tr w:rsidR="00F073C0" w:rsidRPr="008819FD" w14:paraId="1DF96FD6" w14:textId="77777777" w:rsidTr="008B409F">
        <w:trPr>
          <w:trHeight w:val="288"/>
          <w:jc w:val="center"/>
        </w:trPr>
        <w:tc>
          <w:tcPr>
            <w:tcW w:w="5000" w:type="pct"/>
            <w:tcBorders>
              <w:top w:val="nil"/>
              <w:bottom w:val="nil"/>
            </w:tcBorders>
            <w:vAlign w:val="center"/>
          </w:tcPr>
          <w:p w14:paraId="5824FC8C"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Author credits</w:t>
            </w:r>
          </w:p>
        </w:tc>
      </w:tr>
      <w:tr w:rsidR="00F073C0" w:rsidRPr="008819FD" w14:paraId="23222E55" w14:textId="77777777" w:rsidTr="008B409F">
        <w:trPr>
          <w:trHeight w:val="280"/>
          <w:jc w:val="center"/>
        </w:trPr>
        <w:tc>
          <w:tcPr>
            <w:tcW w:w="5000" w:type="pct"/>
            <w:tcBorders>
              <w:top w:val="nil"/>
              <w:bottom w:val="single" w:sz="4" w:space="0" w:color="auto"/>
            </w:tcBorders>
            <w:vAlign w:val="center"/>
          </w:tcPr>
          <w:p w14:paraId="05442A94"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Material Content</w:t>
            </w:r>
          </w:p>
        </w:tc>
      </w:tr>
    </w:tbl>
    <w:p w14:paraId="7158400D" w14:textId="77777777" w:rsidR="00F073C0" w:rsidRPr="008819FD" w:rsidRDefault="00F073C0" w:rsidP="0099552A">
      <w:pPr>
        <w:shd w:val="clear" w:color="auto" w:fill="FFFFFF"/>
        <w:spacing w:line="480" w:lineRule="auto"/>
        <w:rPr>
          <w:rFonts w:asciiTheme="majorBidi" w:eastAsia="Times New Roman" w:hAnsiTheme="majorBidi" w:cstheme="majorBidi"/>
          <w:color w:val="000000"/>
          <w:lang w:val="en-GB"/>
        </w:rPr>
      </w:pPr>
    </w:p>
    <w:p w14:paraId="619E365F"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The researcher relied on research online libraries such as Westlaw, Case law, Google Scholar, Google Books, and Mohamoon-UAE. When using a particular database, the researcher enter</w:t>
      </w:r>
      <w:r>
        <w:rPr>
          <w:rFonts w:asciiTheme="majorBidi" w:eastAsia="Times New Roman" w:hAnsiTheme="majorBidi" w:cstheme="majorBidi"/>
          <w:color w:val="000000"/>
        </w:rPr>
        <w:t>ed</w:t>
      </w:r>
      <w:r>
        <w:rPr>
          <w:rFonts w:asciiTheme="majorBidi" w:eastAsia="Times New Roman" w:hAnsiTheme="majorBidi" w:cstheme="majorBidi"/>
          <w:color w:val="000000"/>
          <w:lang w:val="en-GB"/>
        </w:rPr>
        <w:t xml:space="preserve"> keywords into the search engines at the online libraries. The following search terms will be used to conduct the research:</w:t>
      </w:r>
    </w:p>
    <w:p w14:paraId="0D98B9E6"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 xml:space="preserve">“Online dispute revolution”; “online dispute resolution in the UAE”, “Regulation of online dispute resolution” “Regulation of online dispute resolution in the UAE” “Regulation of online dispute resolution in the EU” “confidentiality of Online Arbitration procedure”. </w:t>
      </w:r>
    </w:p>
    <w:p w14:paraId="372068CC"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The search terms are entered into the search engines available at each of the online libraries used.  When the search terms are returned, the researcher will peruse each of the results for relevance, methodology, the latest, the publisher’s, and authors’ reputations, and other factors listed in the inclusion table above. Once the most relevant, latest and most trusted data is selected, the researcher will collect the data for the research.</w:t>
      </w:r>
    </w:p>
    <w:p w14:paraId="71613572" w14:textId="77777777" w:rsidR="00F073C0" w:rsidRPr="008819FD" w:rsidRDefault="002D4C18" w:rsidP="009F5ACD">
      <w:pPr>
        <w:pStyle w:val="Heading3"/>
        <w:rPr>
          <w:rFonts w:asciiTheme="majorBidi" w:hAnsiTheme="majorBidi" w:cstheme="majorBidi"/>
        </w:rPr>
      </w:pPr>
      <w:bookmarkStart w:id="282" w:name="_Toc101629031"/>
      <w:bookmarkStart w:id="283" w:name="_Toc113989527"/>
      <w:bookmarkStart w:id="284" w:name="_Toc190813325"/>
      <w:bookmarkStart w:id="285" w:name="_Toc209626982"/>
      <w:bookmarkStart w:id="286" w:name="_Toc217491619"/>
      <w:bookmarkStart w:id="287" w:name="_Toc221804566"/>
      <w:r>
        <w:rPr>
          <w:rFonts w:asciiTheme="majorBidi" w:eastAsia="Times New Roman" w:hAnsiTheme="majorBidi" w:cstheme="majorBidi"/>
        </w:rPr>
        <w:t xml:space="preserve">5.3.3 </w:t>
      </w:r>
      <w:r>
        <w:rPr>
          <w:rFonts w:asciiTheme="majorBidi" w:hAnsiTheme="majorBidi" w:cstheme="majorBidi"/>
        </w:rPr>
        <w:t xml:space="preserve">Reliability of </w:t>
      </w:r>
      <w:bookmarkEnd w:id="282"/>
      <w:bookmarkEnd w:id="283"/>
      <w:r>
        <w:rPr>
          <w:rFonts w:asciiTheme="majorBidi" w:hAnsiTheme="majorBidi" w:cstheme="majorBidi"/>
        </w:rPr>
        <w:t>Research</w:t>
      </w:r>
      <w:bookmarkEnd w:id="284"/>
      <w:bookmarkEnd w:id="285"/>
      <w:bookmarkEnd w:id="286"/>
      <w:bookmarkEnd w:id="287"/>
      <w:r>
        <w:rPr>
          <w:rFonts w:asciiTheme="majorBidi" w:hAnsiTheme="majorBidi" w:cstheme="majorBidi"/>
        </w:rPr>
        <w:t xml:space="preserve"> </w:t>
      </w:r>
    </w:p>
    <w:p w14:paraId="394C405D"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Calibri" w:hAnsiTheme="majorBidi" w:cstheme="majorBidi"/>
          <w:b/>
          <w:bCs/>
          <w:color w:val="000000"/>
        </w:rPr>
        <w:tab/>
      </w:r>
      <w:r>
        <w:rPr>
          <w:rFonts w:asciiTheme="majorBidi" w:eastAsia="Times New Roman" w:hAnsiTheme="majorBidi" w:cstheme="majorBidi"/>
          <w:color w:val="000000"/>
          <w:lang w:val="en-GB"/>
        </w:rPr>
        <w:t>To begin with, the research involves the collection of data from multiple sources. The use of multiple sources is known as triangulation which is known to improve the reliability of the research data and results.</w:t>
      </w:r>
      <w:r>
        <w:rPr>
          <w:rFonts w:asciiTheme="majorBidi" w:eastAsia="Times New Roman" w:hAnsiTheme="majorBidi" w:cstheme="majorBidi"/>
          <w:color w:val="000000"/>
          <w:vertAlign w:val="superscript"/>
          <w:lang w:val="en-GB"/>
        </w:rPr>
        <w:footnoteReference w:id="408"/>
      </w:r>
      <w:r>
        <w:rPr>
          <w:rFonts w:asciiTheme="majorBidi" w:eastAsia="Times New Roman" w:hAnsiTheme="majorBidi" w:cstheme="majorBidi"/>
          <w:color w:val="000000"/>
          <w:lang w:val="en-GB"/>
        </w:rPr>
        <w:t xml:space="preserve">. Multiple sources of data serve to improve </w:t>
      </w:r>
      <w:r>
        <w:rPr>
          <w:rFonts w:asciiTheme="majorBidi" w:eastAsia="Times New Roman" w:hAnsiTheme="majorBidi" w:cstheme="majorBidi"/>
          <w:color w:val="000000"/>
          <w:lang w:val="en-GB"/>
        </w:rPr>
        <w:lastRenderedPageBreak/>
        <w:t xml:space="preserve">reliability because the triangulated data complement and corroborate one another. In this regard, the empirical data is supported by and complemented by the secondary data and vice versa (Taylor, 2024). </w:t>
      </w:r>
    </w:p>
    <w:p w14:paraId="3D4E03A1"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 xml:space="preserve">In addition, the researcher creates a paper trail to ensure that data is not lost nor tampered with.  The paper trail consists of documentation of the data upon collection and storage.  The data is duplicated to safeguard against the risk of losing one set of data.  To decrease the risk of loss, the researcher will keep the data in a locked cabinet to which only she has access.  </w:t>
      </w:r>
    </w:p>
    <w:p w14:paraId="74EE1B24"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 xml:space="preserve">Another method used for ensuring the quality of the data is reliable, the researcher uses member checking during the interviews.  Member checking is also referred to as “respondent validation”. In member checking the researcher reads back the content of a reply given by the participant. The participant is given the opportunity to remain loyal to the statement or may wish to correct something that he said already.  </w:t>
      </w:r>
    </w:p>
    <w:p w14:paraId="6D94243E" w14:textId="77777777" w:rsidR="00F073C0" w:rsidRPr="008819FD" w:rsidRDefault="00F073C0" w:rsidP="00663759">
      <w:pPr>
        <w:pStyle w:val="Heading2"/>
        <w:rPr>
          <w:rFonts w:asciiTheme="majorBidi" w:hAnsiTheme="majorBidi" w:cstheme="majorBidi"/>
          <w:sz w:val="24"/>
          <w:szCs w:val="24"/>
        </w:rPr>
      </w:pPr>
      <w:bookmarkStart w:id="288" w:name="_Toc101629032"/>
      <w:bookmarkStart w:id="289" w:name="_Toc113989528"/>
      <w:bookmarkStart w:id="290" w:name="_Toc190813326"/>
      <w:bookmarkStart w:id="291" w:name="_Toc209626983"/>
      <w:bookmarkStart w:id="292" w:name="_Toc217491620"/>
      <w:bookmarkStart w:id="293" w:name="_Toc221804567"/>
      <w:r>
        <w:rPr>
          <w:rFonts w:asciiTheme="majorBidi" w:hAnsiTheme="majorBidi" w:cstheme="majorBidi"/>
          <w:sz w:val="24"/>
          <w:szCs w:val="24"/>
        </w:rPr>
        <w:t>Data Analysis</w:t>
      </w:r>
      <w:bookmarkEnd w:id="288"/>
      <w:bookmarkEnd w:id="289"/>
      <w:bookmarkEnd w:id="290"/>
      <w:bookmarkEnd w:id="291"/>
      <w:bookmarkEnd w:id="292"/>
      <w:bookmarkEnd w:id="293"/>
    </w:p>
    <w:p w14:paraId="673F5B94" w14:textId="77777777" w:rsidR="00F073C0" w:rsidRPr="008819FD" w:rsidRDefault="002D4C18" w:rsidP="009F5ACD">
      <w:pPr>
        <w:pStyle w:val="Heading3"/>
        <w:rPr>
          <w:rFonts w:asciiTheme="majorBidi" w:hAnsiTheme="majorBidi" w:cstheme="majorBidi"/>
        </w:rPr>
      </w:pPr>
      <w:bookmarkStart w:id="294" w:name="_Toc101629033"/>
      <w:bookmarkStart w:id="295" w:name="_Toc113989529"/>
      <w:bookmarkStart w:id="296" w:name="_Toc190813327"/>
      <w:bookmarkStart w:id="297" w:name="_Toc209626984"/>
      <w:bookmarkStart w:id="298" w:name="_Toc217491621"/>
      <w:bookmarkStart w:id="299" w:name="_Toc221804568"/>
      <w:r>
        <w:rPr>
          <w:rFonts w:asciiTheme="majorBidi" w:eastAsia="Times New Roman" w:hAnsiTheme="majorBidi" w:cstheme="majorBidi"/>
        </w:rPr>
        <w:t xml:space="preserve">5.4.1 </w:t>
      </w:r>
      <w:r>
        <w:rPr>
          <w:rFonts w:asciiTheme="majorBidi" w:hAnsiTheme="majorBidi" w:cstheme="majorBidi"/>
        </w:rPr>
        <w:t>Qualitative Data Analysis</w:t>
      </w:r>
      <w:bookmarkEnd w:id="294"/>
      <w:bookmarkEnd w:id="295"/>
      <w:bookmarkEnd w:id="296"/>
      <w:bookmarkEnd w:id="297"/>
      <w:bookmarkEnd w:id="298"/>
      <w:bookmarkEnd w:id="299"/>
      <w:r>
        <w:rPr>
          <w:rFonts w:asciiTheme="majorBidi" w:hAnsiTheme="majorBidi" w:cstheme="majorBidi"/>
        </w:rPr>
        <w:t xml:space="preserve"> </w:t>
      </w:r>
    </w:p>
    <w:p w14:paraId="04A91CC1"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Calibri" w:hAnsiTheme="majorBidi" w:cstheme="majorBidi"/>
          <w:b/>
          <w:bCs/>
          <w:color w:val="000000"/>
        </w:rPr>
        <w:tab/>
      </w:r>
      <w:r>
        <w:rPr>
          <w:rFonts w:asciiTheme="majorBidi" w:eastAsia="Times New Roman" w:hAnsiTheme="majorBidi" w:cstheme="majorBidi"/>
          <w:color w:val="000000"/>
          <w:lang w:val="en-GB"/>
        </w:rPr>
        <w:t xml:space="preserve">The researcher uses a qualitative data analysis approach to the data that will be collected via the interviews.  The data will be examined, categorized, and coded for ease of reference.  The data results will be qualified based on commonalities or differences. The differences and commonalities will be examined for relevance. The researcher will approach the interviews with the same sense of urgency that she would approach another researcher.  </w:t>
      </w:r>
    </w:p>
    <w:p w14:paraId="66C0BF60"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 xml:space="preserve">In arriving at a conclusion based on the research findings, the author will examine the entirety of the voice message. This means that the researcher looks at each dataset </w:t>
      </w:r>
      <w:r>
        <w:rPr>
          <w:rFonts w:asciiTheme="majorBidi" w:eastAsia="Times New Roman" w:hAnsiTheme="majorBidi" w:cstheme="majorBidi"/>
          <w:color w:val="000000"/>
          <w:lang w:val="en-GB"/>
        </w:rPr>
        <w:lastRenderedPageBreak/>
        <w:t xml:space="preserve">and then asks what the datasets are attempting to say. Each possible explanation is examined and exhausted to the bitter end. The least exhaustive explanation is accepted. </w:t>
      </w:r>
    </w:p>
    <w:p w14:paraId="0B7AA69C"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 xml:space="preserve">The researcher takes an inductive approach to the analysis of the data.  Inductive reasoning involves condensing raw data into a “brief, summary model” (Thomas, 2006, p. 237). An inductive approach also permits the researcher to “establish clear links between the evaluation or research objectives and the summary findings” from the raw data and helps in the development of a “framework of the underlying structure of the experiences or processes” that are evident in the raw data </w:t>
      </w:r>
    </w:p>
    <w:p w14:paraId="7B567540"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 xml:space="preserve">Ultimately, an inductive approach involves looking for patterns and themes in the data and using those results to develop explanations, generalizations, or theories. Therefore, in taking an inductive approach, the researcher attempts to determine whether Online Arbitration in the UAE is best served by the government’s regulation of the current practice.  An inductive approach to the results will also help the researcher to eliminate unhelpful solutions to the problem of Online Arbitration practice in its current state in the UAE. </w:t>
      </w:r>
    </w:p>
    <w:p w14:paraId="3EDD1C80" w14:textId="77777777" w:rsidR="00F073C0" w:rsidRPr="008819FD" w:rsidRDefault="002D4C18" w:rsidP="009F5ACD">
      <w:pPr>
        <w:pStyle w:val="Heading3"/>
        <w:rPr>
          <w:rFonts w:asciiTheme="majorBidi" w:hAnsiTheme="majorBidi" w:cstheme="majorBidi"/>
        </w:rPr>
      </w:pPr>
      <w:bookmarkStart w:id="300" w:name="_Toc101629034"/>
      <w:bookmarkStart w:id="301" w:name="_Toc113989530"/>
      <w:bookmarkStart w:id="302" w:name="_Toc190813328"/>
      <w:bookmarkStart w:id="303" w:name="_Toc209626985"/>
      <w:bookmarkStart w:id="304" w:name="_Toc217491622"/>
      <w:bookmarkStart w:id="305" w:name="_Toc221804569"/>
      <w:r>
        <w:rPr>
          <w:rFonts w:asciiTheme="majorBidi" w:eastAsia="Times New Roman" w:hAnsiTheme="majorBidi" w:cstheme="majorBidi"/>
        </w:rPr>
        <w:t xml:space="preserve">5.4.2 </w:t>
      </w:r>
      <w:r>
        <w:rPr>
          <w:rFonts w:asciiTheme="majorBidi" w:hAnsiTheme="majorBidi" w:cstheme="majorBidi"/>
        </w:rPr>
        <w:t>Secondary Data Analysis</w:t>
      </w:r>
      <w:bookmarkEnd w:id="300"/>
      <w:bookmarkEnd w:id="301"/>
      <w:bookmarkEnd w:id="302"/>
      <w:bookmarkEnd w:id="303"/>
      <w:bookmarkEnd w:id="304"/>
      <w:bookmarkEnd w:id="305"/>
    </w:p>
    <w:p w14:paraId="439B24E7"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Calibri" w:hAnsiTheme="majorBidi" w:cstheme="majorBidi"/>
          <w:color w:val="000000"/>
        </w:rPr>
        <w:tab/>
      </w:r>
      <w:r>
        <w:rPr>
          <w:rFonts w:asciiTheme="majorBidi" w:eastAsia="Times New Roman" w:hAnsiTheme="majorBidi" w:cstheme="majorBidi"/>
          <w:color w:val="000000"/>
          <w:lang w:val="en-GB"/>
        </w:rPr>
        <w:t>The secondary data analysis is carried on by the collection and synresearch paper of secondary data.  A secondary data analysis typically involves the collection of secondary data and an analytical approach to it.  The researcher will evaluate the secondary data with a view to observing and noting patterns in terms of commonalities and discrepancies. The patterns will be organized and categorized with the aid of a coding system.</w:t>
      </w:r>
    </w:p>
    <w:p w14:paraId="31E399EB" w14:textId="77777777" w:rsidR="00F073C0" w:rsidRPr="008819FD" w:rsidRDefault="00F073C0" w:rsidP="00663759">
      <w:pPr>
        <w:pStyle w:val="Heading2"/>
        <w:rPr>
          <w:rFonts w:asciiTheme="majorBidi" w:hAnsiTheme="majorBidi" w:cstheme="majorBidi"/>
          <w:sz w:val="24"/>
          <w:szCs w:val="24"/>
        </w:rPr>
      </w:pPr>
      <w:bookmarkStart w:id="306" w:name="_Toc101629035"/>
      <w:bookmarkStart w:id="307" w:name="_Toc113989531"/>
      <w:bookmarkStart w:id="308" w:name="_Toc190813329"/>
      <w:bookmarkStart w:id="309" w:name="_Toc209626986"/>
      <w:bookmarkStart w:id="310" w:name="_Toc217491623"/>
      <w:bookmarkStart w:id="311" w:name="_Toc221804570"/>
      <w:r>
        <w:rPr>
          <w:rFonts w:asciiTheme="majorBidi" w:hAnsiTheme="majorBidi" w:cstheme="majorBidi"/>
          <w:sz w:val="24"/>
          <w:szCs w:val="24"/>
        </w:rPr>
        <w:lastRenderedPageBreak/>
        <w:t>Justification for Research Methods</w:t>
      </w:r>
      <w:bookmarkEnd w:id="306"/>
      <w:bookmarkEnd w:id="307"/>
      <w:bookmarkEnd w:id="308"/>
      <w:bookmarkEnd w:id="309"/>
      <w:bookmarkEnd w:id="310"/>
      <w:bookmarkEnd w:id="311"/>
    </w:p>
    <w:p w14:paraId="0394AAB6"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Calibri" w:hAnsiTheme="majorBidi" w:cstheme="majorBidi"/>
          <w:color w:val="000000"/>
        </w:rPr>
        <w:tab/>
      </w:r>
      <w:r>
        <w:rPr>
          <w:rFonts w:asciiTheme="majorBidi" w:eastAsia="Times New Roman" w:hAnsiTheme="majorBidi" w:cstheme="majorBidi"/>
          <w:color w:val="000000"/>
          <w:rtl/>
          <w:lang w:val="en-GB"/>
        </w:rPr>
        <w:t xml:space="preserve"> </w:t>
      </w:r>
      <w:r>
        <w:rPr>
          <w:rFonts w:asciiTheme="majorBidi" w:eastAsia="Times New Roman" w:hAnsiTheme="majorBidi" w:cstheme="majorBidi"/>
          <w:color w:val="000000"/>
          <w:lang w:val="en-GB"/>
        </w:rPr>
        <w:t>This research employed a qualitative approach, which differs significantly from quantitative research. Quantitative methods usually focus on collecting numerical or measurable data from large populations, often through structured surveys with closed-ended questions. While such surveys are useful for generating statistical generalizations, they tend to provide limited depth since participants are confined to pre-set response options and are not able to elaborate on their own perspectives.</w:t>
      </w:r>
    </w:p>
    <w:p w14:paraId="7965AF87"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By contrast, qualitative research prioritizes the collection of rich, detailed, and contextualized data from smaller, purposefully selected samples. In this study, data were obtained through semi-structured interviews with experts in arbitration. These interviews allowed participants to share their experiences and perspectives in their own words, offering nuanced insights into the effectiveness and challenges of online arbitration in the UAE. Open-ended questioning enabled participants to articulate views that extended beyond the boundaries of structured surveys, thus producing more comprehensive and meaningful findings.</w:t>
      </w:r>
    </w:p>
    <w:p w14:paraId="4D0BBCB6"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The qualitative approach was therefore particularly appropriate for this study, as it aimed to explore perceptions, practices, and potential regulatory gaps rather than to quantify trends. By drawing directly on the lived experiences of practitioners and experts, the study was able to generate data that were both robust and contextually relevant to the UAE’s arbitration framework</w:t>
      </w:r>
    </w:p>
    <w:p w14:paraId="565376E5" w14:textId="77777777" w:rsidR="00F073C0" w:rsidRPr="008819FD" w:rsidRDefault="00F073C0" w:rsidP="00663759">
      <w:pPr>
        <w:pStyle w:val="Heading2"/>
        <w:rPr>
          <w:rFonts w:asciiTheme="majorBidi" w:hAnsiTheme="majorBidi" w:cstheme="majorBidi"/>
          <w:sz w:val="24"/>
          <w:szCs w:val="24"/>
        </w:rPr>
      </w:pPr>
      <w:bookmarkStart w:id="312" w:name="_Toc101629036"/>
      <w:bookmarkStart w:id="313" w:name="_Toc113989532"/>
      <w:bookmarkStart w:id="314" w:name="_Toc190813330"/>
      <w:bookmarkStart w:id="315" w:name="_Toc209626987"/>
      <w:bookmarkStart w:id="316" w:name="_Toc217491624"/>
      <w:bookmarkStart w:id="317" w:name="_Toc221804571"/>
      <w:r>
        <w:rPr>
          <w:rFonts w:asciiTheme="majorBidi" w:hAnsiTheme="majorBidi" w:cstheme="majorBidi"/>
          <w:sz w:val="24"/>
          <w:szCs w:val="24"/>
        </w:rPr>
        <w:lastRenderedPageBreak/>
        <w:t>Research Philosophy</w:t>
      </w:r>
      <w:bookmarkEnd w:id="312"/>
      <w:bookmarkEnd w:id="313"/>
      <w:bookmarkEnd w:id="314"/>
      <w:bookmarkEnd w:id="315"/>
      <w:bookmarkEnd w:id="316"/>
      <w:bookmarkEnd w:id="317"/>
    </w:p>
    <w:p w14:paraId="5B0514CB"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Calibri" w:hAnsiTheme="majorBidi" w:cstheme="majorBidi"/>
          <w:b/>
          <w:bCs/>
          <w:color w:val="000000"/>
        </w:rPr>
        <w:tab/>
      </w:r>
      <w:r>
        <w:rPr>
          <w:rFonts w:asciiTheme="majorBidi" w:eastAsia="Times New Roman" w:hAnsiTheme="majorBidi" w:cstheme="majorBidi"/>
          <w:color w:val="000000"/>
          <w:lang w:val="en-GB"/>
        </w:rPr>
        <w:t xml:space="preserve">This research uses an interpretivist philosophical approach. The interpretivist takes the position that knowledge is subjective and that there is really no such thing as objective truths.  </w:t>
      </w:r>
      <w:r>
        <w:rPr>
          <w:rFonts w:asciiTheme="majorBidi" w:eastAsia="Times New Roman" w:hAnsiTheme="majorBidi" w:cstheme="majorBidi"/>
          <w:color w:val="000000"/>
          <w:vertAlign w:val="superscript"/>
          <w:lang w:val="en-GB"/>
        </w:rPr>
        <w:footnoteReference w:id="409"/>
      </w:r>
      <w:r>
        <w:rPr>
          <w:rFonts w:asciiTheme="majorBidi" w:eastAsia="Times New Roman" w:hAnsiTheme="majorBidi" w:cstheme="majorBidi"/>
          <w:color w:val="000000"/>
          <w:lang w:val="en-GB"/>
        </w:rPr>
        <w:t xml:space="preserve">. For example, two or more people may see a rock. However, one person may see the rock while others may not see it at all.  Another person may see something else. However, interpretivists will suggest that each of the perspectives of the rock. </w:t>
      </w:r>
    </w:p>
    <w:p w14:paraId="6CFB9546" w14:textId="77777777" w:rsidR="00F073C0" w:rsidRPr="008819FD" w:rsidRDefault="00F073C0" w:rsidP="00311168">
      <w:pPr>
        <w:shd w:val="clear" w:color="auto" w:fill="FFFFFF"/>
        <w:spacing w:line="480" w:lineRule="auto"/>
        <w:ind w:firstLine="720"/>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ab/>
        <w:t>Interpretivists assume that the truth is not capable of quantification. Instead, trust is discovered by an examination of a phenomenon. This can be accomplished by contextualizing a phenomenon and studying it.</w:t>
      </w:r>
      <w:r>
        <w:rPr>
          <w:rFonts w:asciiTheme="majorBidi" w:eastAsia="Times New Roman" w:hAnsiTheme="majorBidi" w:cstheme="majorBidi"/>
          <w:color w:val="000000"/>
          <w:vertAlign w:val="superscript"/>
          <w:lang w:val="en-GB"/>
        </w:rPr>
        <w:footnoteReference w:id="410"/>
      </w:r>
      <w:r>
        <w:rPr>
          <w:rFonts w:asciiTheme="majorBidi" w:eastAsia="Times New Roman" w:hAnsiTheme="majorBidi" w:cstheme="majorBidi"/>
          <w:color w:val="000000"/>
          <w:lang w:val="en-GB"/>
        </w:rPr>
        <w:t>. According to</w:t>
      </w:r>
      <w:r>
        <w:rPr>
          <w:rFonts w:asciiTheme="majorBidi" w:eastAsia="Times New Roman" w:hAnsiTheme="majorBidi" w:cstheme="majorBidi"/>
          <w:color w:val="000000"/>
          <w:vertAlign w:val="superscript"/>
          <w:lang w:val="en-GB"/>
        </w:rPr>
        <w:footnoteReference w:id="411"/>
      </w:r>
      <w:r>
        <w:rPr>
          <w:rFonts w:asciiTheme="majorBidi" w:eastAsia="Times New Roman" w:hAnsiTheme="majorBidi" w:cstheme="majorBidi"/>
          <w:color w:val="000000"/>
          <w:lang w:val="en-GB"/>
        </w:rPr>
        <w:t>Interpretivism is about discovery.   This research, therefore, attempts to discover whether online dispute resolution is best served by a reinvention.</w:t>
      </w:r>
    </w:p>
    <w:p w14:paraId="0A9A7CFE" w14:textId="77777777" w:rsidR="00F073C0" w:rsidRPr="008819FD" w:rsidRDefault="00F073C0" w:rsidP="00311168">
      <w:pPr>
        <w:pStyle w:val="NormalWeb"/>
        <w:spacing w:line="480" w:lineRule="auto"/>
        <w:ind w:firstLine="720"/>
        <w:rPr>
          <w:rFonts w:asciiTheme="majorBidi" w:hAnsiTheme="majorBidi" w:cstheme="majorBidi"/>
        </w:rPr>
      </w:pPr>
      <w:bookmarkStart w:id="318" w:name="_Toc101629037"/>
      <w:bookmarkStart w:id="319" w:name="_Toc113989533"/>
      <w:bookmarkStart w:id="320" w:name="_Toc190813331"/>
      <w:bookmarkStart w:id="321" w:name="_Toc209626988"/>
      <w:bookmarkStart w:id="322" w:name="_Toc217491625"/>
      <w:r>
        <w:rPr>
          <w:rFonts w:asciiTheme="majorBidi" w:hAnsiTheme="majorBidi" w:cstheme="majorBidi"/>
        </w:rPr>
        <w:t>Therefore, the philosophy expressed through this research is centreed on the application of the philosophy to utilise the collected data as the basis for the positive findings of this research. As such, this research will identify the best methods and procedures to follow when conducting electronic arbitration.</w:t>
      </w:r>
    </w:p>
    <w:p w14:paraId="63B9D8BD" w14:textId="77777777" w:rsidR="00F073C0" w:rsidRPr="008819FD" w:rsidRDefault="00F073C0" w:rsidP="00663759">
      <w:pPr>
        <w:pStyle w:val="Heading2"/>
        <w:rPr>
          <w:rFonts w:asciiTheme="majorBidi" w:hAnsiTheme="majorBidi" w:cstheme="majorBidi"/>
          <w:sz w:val="24"/>
          <w:szCs w:val="24"/>
        </w:rPr>
      </w:pPr>
      <w:bookmarkStart w:id="323" w:name="_Toc221804572"/>
      <w:r>
        <w:rPr>
          <w:rFonts w:asciiTheme="majorBidi" w:hAnsiTheme="majorBidi" w:cstheme="majorBidi"/>
          <w:sz w:val="24"/>
          <w:szCs w:val="24"/>
        </w:rPr>
        <w:t>Ethical Considerations</w:t>
      </w:r>
      <w:bookmarkEnd w:id="318"/>
      <w:bookmarkEnd w:id="319"/>
      <w:bookmarkEnd w:id="320"/>
      <w:bookmarkEnd w:id="321"/>
      <w:bookmarkEnd w:id="322"/>
      <w:bookmarkEnd w:id="323"/>
    </w:p>
    <w:p w14:paraId="6BBCBAE7" w14:textId="77777777" w:rsidR="00F073C0" w:rsidRPr="008819FD" w:rsidRDefault="00F073C0" w:rsidP="00311168">
      <w:pPr>
        <w:shd w:val="clear" w:color="auto" w:fill="FFFFFF"/>
        <w:spacing w:line="480" w:lineRule="auto"/>
        <w:ind w:firstLine="720"/>
        <w:rPr>
          <w:rFonts w:asciiTheme="majorBidi" w:hAnsiTheme="majorBidi" w:cstheme="majorBidi"/>
          <w:color w:val="000000"/>
        </w:rPr>
      </w:pPr>
      <w:r>
        <w:rPr>
          <w:rFonts w:asciiTheme="majorBidi" w:eastAsia="Calibri" w:hAnsiTheme="majorBidi" w:cstheme="majorBidi"/>
          <w:color w:val="000000"/>
        </w:rPr>
        <w:tab/>
      </w:r>
      <w:r>
        <w:rPr>
          <w:rFonts w:asciiTheme="majorBidi" w:hAnsiTheme="majorBidi" w:cstheme="majorBidi"/>
          <w:color w:val="000000"/>
        </w:rPr>
        <w:t xml:space="preserve">Ethical considerations involved making sure that all participants provided consent voluntarily. All participants were above the age of 18, and therefore, able to provide </w:t>
      </w:r>
      <w:r>
        <w:rPr>
          <w:rFonts w:asciiTheme="majorBidi" w:hAnsiTheme="majorBidi" w:cstheme="majorBidi"/>
          <w:color w:val="000000"/>
        </w:rPr>
        <w:lastRenderedPageBreak/>
        <w:t>consent on their own behalf. The purpose behind the requirement for voluntary consent is to make certain that a research participant doesn’t feel like he/she is being forced into participating in the research. If a participant feels pressured and/or forced into participating in research, then that participant is less likely to answer research questions honestly and authentically. Typically, when a participant feels pressure and/or forced into providing an answer to a research question, that participant will provide a quick response that is measured so as to limit explaining the answer provided. In essence, when a participant feels forced, that participant is irritable and as such, the reliability of the participant's responses is questionable. As a result, all research participants are informed that they may withdraw from the study at any time.</w:t>
      </w:r>
      <w:r>
        <w:rPr>
          <w:rFonts w:asciiTheme="majorBidi" w:hAnsiTheme="majorBidi" w:cstheme="majorBidi"/>
          <w:color w:val="000000"/>
        </w:rPr>
        <w:br/>
        <w:t xml:space="preserve">As a result, none of the research participants were coerced or forced into participating in the study in any manner. The researchers did not promise any favors or money to the participants for participating in the study. In addition, the researchers made sure that the research participants not only met the requirements of age (i.e., over 18) but were also capable of reading and comprehending the directions of the study. </w:t>
      </w:r>
    </w:p>
    <w:p w14:paraId="425B0D81" w14:textId="77777777" w:rsidR="009A235B" w:rsidRPr="008819FD" w:rsidRDefault="00F073C0" w:rsidP="002D4C18">
      <w:pPr>
        <w:shd w:val="clear" w:color="auto" w:fill="FFFFFF"/>
        <w:spacing w:line="480" w:lineRule="auto"/>
        <w:ind w:firstLine="720"/>
        <w:rPr>
          <w:rFonts w:asciiTheme="majorBidi" w:hAnsiTheme="majorBidi" w:cstheme="majorBidi"/>
          <w:color w:val="000000"/>
        </w:rPr>
      </w:pPr>
      <w:r>
        <w:rPr>
          <w:rFonts w:asciiTheme="majorBidi" w:hAnsiTheme="majorBidi" w:cstheme="majorBidi"/>
          <w:color w:val="000000"/>
        </w:rPr>
        <w:t>In addition, the research was both blind and anonymous because the participants' identities remain confidential. The researcher will have control of the data collected during the research. The researcher will store the data physically in a locked cabinet where only the researcher has a key to enter the cabinet. The researcher has the only key to the cabinet. Only the researcher is aware if anyone has entered the cabinet, and there is no other means of accessing the cabinet without the researcher’s consent and knowledge. The researcher will retain the physical data for one year after the completion of the dissertation. After one year of retention, the researcher will destroy the data by shredding it.</w:t>
      </w:r>
    </w:p>
    <w:p w14:paraId="3A21E2C2" w14:textId="77777777" w:rsidR="00F073C0" w:rsidRPr="008819FD" w:rsidRDefault="005438D5" w:rsidP="005A4670">
      <w:pPr>
        <w:pStyle w:val="Heading1"/>
        <w:rPr>
          <w:rFonts w:asciiTheme="majorBidi" w:hAnsiTheme="majorBidi" w:cstheme="majorBidi"/>
        </w:rPr>
      </w:pPr>
      <w:bookmarkStart w:id="324" w:name="_Toc221804573"/>
      <w:r>
        <w:rPr>
          <w:rFonts w:asciiTheme="majorBidi" w:hAnsiTheme="majorBidi" w:cstheme="majorBidi"/>
        </w:rPr>
        <w:lastRenderedPageBreak/>
        <w:t>: Results and Analysis</w:t>
      </w:r>
      <w:bookmarkEnd w:id="324"/>
    </w:p>
    <w:p w14:paraId="4104FE99" w14:textId="77777777" w:rsidR="00F073C0" w:rsidRPr="008819FD" w:rsidRDefault="00F073C0" w:rsidP="00663759">
      <w:pPr>
        <w:pStyle w:val="Heading2"/>
        <w:rPr>
          <w:rFonts w:asciiTheme="majorBidi" w:hAnsiTheme="majorBidi" w:cstheme="majorBidi"/>
          <w:sz w:val="24"/>
          <w:szCs w:val="24"/>
        </w:rPr>
      </w:pPr>
      <w:bookmarkStart w:id="325" w:name="_Toc221804574"/>
      <w:r>
        <w:rPr>
          <w:rFonts w:asciiTheme="majorBidi" w:hAnsiTheme="majorBidi" w:cstheme="majorBidi"/>
          <w:sz w:val="24"/>
          <w:szCs w:val="24"/>
        </w:rPr>
        <w:t>Introduction</w:t>
      </w:r>
      <w:bookmarkEnd w:id="325"/>
      <w:r>
        <w:rPr>
          <w:rFonts w:asciiTheme="majorBidi" w:hAnsiTheme="majorBidi" w:cstheme="majorBidi"/>
          <w:sz w:val="24"/>
          <w:szCs w:val="24"/>
        </w:rPr>
        <w:t xml:space="preserve"> </w:t>
      </w:r>
    </w:p>
    <w:p w14:paraId="77A8106A" w14:textId="77777777" w:rsidR="00F073C0" w:rsidRPr="008819FD" w:rsidRDefault="00F073C0" w:rsidP="00AE74BE">
      <w:pPr>
        <w:ind w:firstLine="360"/>
        <w:rPr>
          <w:rFonts w:asciiTheme="majorBidi" w:hAnsiTheme="majorBidi" w:cstheme="majorBidi"/>
        </w:rPr>
      </w:pPr>
      <w:r>
        <w:rPr>
          <w:rFonts w:asciiTheme="majorBidi" w:hAnsiTheme="majorBidi" w:cstheme="majorBidi"/>
        </w:rPr>
        <w:t>This chapter presented the results for the Qualitative and quantitative study.</w:t>
      </w:r>
    </w:p>
    <w:p w14:paraId="058AB4BD" w14:textId="77777777" w:rsidR="00F073C0" w:rsidRPr="008819FD" w:rsidRDefault="00F073C0" w:rsidP="00663759">
      <w:pPr>
        <w:pStyle w:val="Heading2"/>
        <w:rPr>
          <w:rFonts w:asciiTheme="majorBidi" w:hAnsiTheme="majorBidi" w:cstheme="majorBidi"/>
          <w:sz w:val="24"/>
          <w:szCs w:val="24"/>
        </w:rPr>
      </w:pPr>
      <w:bookmarkStart w:id="326" w:name="_Toc221804575"/>
      <w:r>
        <w:rPr>
          <w:rFonts w:asciiTheme="majorBidi" w:hAnsiTheme="majorBidi" w:cstheme="majorBidi"/>
          <w:sz w:val="24"/>
          <w:szCs w:val="24"/>
        </w:rPr>
        <w:t>Qualitative Results</w:t>
      </w:r>
      <w:bookmarkEnd w:id="326"/>
      <w:r>
        <w:rPr>
          <w:rFonts w:asciiTheme="majorBidi" w:hAnsiTheme="majorBidi" w:cstheme="majorBidi"/>
          <w:sz w:val="24"/>
          <w:szCs w:val="24"/>
        </w:rPr>
        <w:t xml:space="preserve"> </w:t>
      </w:r>
    </w:p>
    <w:p w14:paraId="35445E73" w14:textId="77777777" w:rsidR="00F073C0" w:rsidRPr="008819FD" w:rsidRDefault="00817F41" w:rsidP="009F5ACD">
      <w:pPr>
        <w:pStyle w:val="Heading3"/>
        <w:rPr>
          <w:rFonts w:asciiTheme="majorBidi" w:hAnsiTheme="majorBidi" w:cstheme="majorBidi"/>
        </w:rPr>
      </w:pPr>
      <w:bookmarkStart w:id="327" w:name="_Toc209626990"/>
      <w:bookmarkStart w:id="328" w:name="_Toc217491627"/>
      <w:bookmarkStart w:id="329" w:name="_Toc221804576"/>
      <w:r>
        <w:rPr>
          <w:rFonts w:asciiTheme="majorBidi" w:eastAsia="Times New Roman" w:hAnsiTheme="majorBidi" w:cstheme="majorBidi"/>
        </w:rPr>
        <w:t xml:space="preserve">6.2.1 </w:t>
      </w:r>
      <w:r>
        <w:rPr>
          <w:rFonts w:asciiTheme="majorBidi" w:hAnsiTheme="majorBidi" w:cstheme="majorBidi"/>
        </w:rPr>
        <w:t>Interview Coding</w:t>
      </w:r>
      <w:bookmarkEnd w:id="327"/>
      <w:bookmarkEnd w:id="328"/>
      <w:bookmarkEnd w:id="329"/>
    </w:p>
    <w:p w14:paraId="1AE82690" w14:textId="77777777" w:rsidR="00F073C0" w:rsidRPr="008819FD" w:rsidRDefault="00F073C0" w:rsidP="00E31E3D">
      <w:pPr>
        <w:shd w:val="clear" w:color="auto" w:fill="FFFFFF"/>
        <w:spacing w:after="0" w:line="480" w:lineRule="auto"/>
        <w:ind w:firstLine="720"/>
        <w:rPr>
          <w:rFonts w:asciiTheme="majorBidi" w:hAnsiTheme="majorBidi" w:cstheme="majorBidi"/>
          <w:iCs/>
          <w:color w:val="000000"/>
          <w:lang w:bidi="ar-AE"/>
        </w:rPr>
      </w:pPr>
      <w:r>
        <w:rPr>
          <w:rFonts w:asciiTheme="majorBidi" w:eastAsia="Times New Roman" w:hAnsiTheme="majorBidi" w:cstheme="majorBidi"/>
          <w:iCs/>
          <w:color w:val="000000"/>
          <w:lang w:bidi="ar-AE"/>
        </w:rPr>
        <w:t>To ensure participant confidentiality and protect the identity of the participants through the systematic coding of interviews, the researcher used a unique identifier for each of the 15 interviews (e.g., INT-01) to allow the researcher to reference specific responses during the analysis without identifying any of the participants. Coding provided the researcher with the ability to provide contextual information regarding the demographics and work experience of each participant for purposes of interpretation; however, it maintained participant anonymity. Thus, the use of a coding system supported both compliance with ethics standards and the protection of the integrity of the research data.</w:t>
      </w:r>
      <w:r>
        <w:rPr>
          <w:rFonts w:asciiTheme="majorBidi" w:eastAsia="Times New Roman" w:hAnsiTheme="majorBidi" w:cstheme="majorBidi"/>
        </w:rPr>
        <w:t xml:space="preserve"> </w:t>
      </w:r>
      <w:r>
        <w:rPr>
          <w:rFonts w:asciiTheme="majorBidi" w:hAnsiTheme="majorBidi" w:cstheme="majorBidi"/>
          <w:iCs/>
          <w:color w:val="000000"/>
          <w:lang w:bidi="ar-AE"/>
        </w:rPr>
        <w:t>Table 3 outlines the gender breakdown of participants.</w:t>
      </w:r>
    </w:p>
    <w:p w14:paraId="571C3269" w14:textId="77777777" w:rsidR="004027D7" w:rsidRPr="008819FD" w:rsidRDefault="004027D7" w:rsidP="0099552A">
      <w:pPr>
        <w:shd w:val="clear" w:color="auto" w:fill="FFFFFF"/>
        <w:spacing w:after="0" w:line="480" w:lineRule="auto"/>
        <w:ind w:firstLine="720"/>
        <w:rPr>
          <w:rFonts w:asciiTheme="majorBidi" w:eastAsia="Times New Roman" w:hAnsiTheme="majorBidi" w:cstheme="majorBidi"/>
          <w:iCs/>
          <w:color w:val="000000"/>
          <w:lang w:val="en-GB"/>
        </w:rPr>
      </w:pPr>
    </w:p>
    <w:p w14:paraId="6FC6C6A6" w14:textId="1C1BF4E2" w:rsidR="00F073C0" w:rsidRPr="008819FD" w:rsidRDefault="00F073C0" w:rsidP="00CA2D0F">
      <w:pPr>
        <w:pStyle w:val="Caption"/>
        <w:rPr>
          <w:rFonts w:asciiTheme="majorBidi" w:eastAsia="Times New Roman" w:hAnsiTheme="majorBidi" w:cstheme="majorBidi"/>
          <w:i/>
          <w:iCs/>
          <w:color w:val="000000"/>
        </w:rPr>
      </w:pPr>
      <w:bookmarkStart w:id="330" w:name="_Toc219753436"/>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3</w:t>
      </w:r>
      <w:r>
        <w:rPr>
          <w:rFonts w:asciiTheme="majorBidi" w:hAnsiTheme="majorBidi" w:cstheme="majorBidi"/>
          <w:b/>
        </w:rPr>
        <w:fldChar w:fldCharType="end"/>
      </w:r>
      <w:r>
        <w:rPr>
          <w:rFonts w:asciiTheme="majorBidi" w:hAnsiTheme="majorBidi" w:cstheme="majorBidi"/>
        </w:rPr>
        <w:br/>
      </w:r>
      <w:bookmarkEnd w:id="330"/>
      <w:r>
        <w:rPr>
          <w:rFonts w:asciiTheme="majorBidi" w:hAnsiTheme="majorBidi" w:cstheme="majorBidi"/>
          <w:i/>
          <w:iCs/>
        </w:rPr>
        <w:t>Gender Breakdown of Participants</w:t>
      </w:r>
    </w:p>
    <w:tbl>
      <w:tblPr>
        <w:tblW w:w="5000" w:type="pct"/>
        <w:jc w:val="center"/>
        <w:tblBorders>
          <w:top w:val="single" w:sz="4" w:space="0" w:color="auto"/>
          <w:bottom w:val="single" w:sz="4" w:space="0" w:color="auto"/>
        </w:tblBorders>
        <w:tblLook w:val="04A0" w:firstRow="1" w:lastRow="0" w:firstColumn="1" w:lastColumn="0" w:noHBand="0" w:noVBand="1"/>
      </w:tblPr>
      <w:tblGrid>
        <w:gridCol w:w="1051"/>
        <w:gridCol w:w="1051"/>
        <w:gridCol w:w="803"/>
        <w:gridCol w:w="679"/>
        <w:gridCol w:w="1074"/>
        <w:gridCol w:w="837"/>
        <w:gridCol w:w="1186"/>
        <w:gridCol w:w="1355"/>
        <w:gridCol w:w="1085"/>
      </w:tblGrid>
      <w:tr w:rsidR="008B409F" w:rsidRPr="008819FD" w14:paraId="6EE7C156" w14:textId="77777777" w:rsidTr="00E31E3D">
        <w:trPr>
          <w:trHeight w:val="1304"/>
          <w:jc w:val="center"/>
        </w:trPr>
        <w:tc>
          <w:tcPr>
            <w:tcW w:w="576" w:type="pct"/>
            <w:vAlign w:val="center"/>
            <w:hideMark/>
          </w:tcPr>
          <w:p w14:paraId="37BFCCB6" w14:textId="77777777" w:rsidR="00F073C0" w:rsidRPr="008819FD" w:rsidRDefault="00F073C0" w:rsidP="0099552A">
            <w:pPr>
              <w:shd w:val="clear" w:color="auto" w:fill="FFFFFF"/>
              <w:spacing w:after="0" w:line="480" w:lineRule="auto"/>
              <w:rPr>
                <w:rFonts w:asciiTheme="majorBidi" w:eastAsia="Times New Roman" w:hAnsiTheme="majorBidi" w:cstheme="majorBidi"/>
                <w:b/>
                <w:iCs/>
                <w:color w:val="000000"/>
              </w:rPr>
            </w:pPr>
            <w:r>
              <w:rPr>
                <w:rFonts w:asciiTheme="majorBidi" w:eastAsia="Times New Roman" w:hAnsiTheme="majorBidi" w:cstheme="majorBidi"/>
                <w:b/>
                <w:iCs/>
                <w:color w:val="000000"/>
              </w:rPr>
              <w:t>Interview No.</w:t>
            </w:r>
          </w:p>
        </w:tc>
        <w:tc>
          <w:tcPr>
            <w:tcW w:w="576" w:type="pct"/>
            <w:vAlign w:val="center"/>
            <w:hideMark/>
          </w:tcPr>
          <w:p w14:paraId="541D2614" w14:textId="77777777" w:rsidR="00F073C0" w:rsidRPr="008819FD" w:rsidRDefault="00F073C0" w:rsidP="0099552A">
            <w:pPr>
              <w:shd w:val="clear" w:color="auto" w:fill="FFFFFF"/>
              <w:spacing w:after="0" w:line="480" w:lineRule="auto"/>
              <w:rPr>
                <w:rFonts w:asciiTheme="majorBidi" w:eastAsia="Times New Roman" w:hAnsiTheme="majorBidi" w:cstheme="majorBidi"/>
                <w:b/>
                <w:iCs/>
                <w:color w:val="000000"/>
              </w:rPr>
            </w:pPr>
            <w:r>
              <w:rPr>
                <w:rFonts w:asciiTheme="majorBidi" w:eastAsia="Times New Roman" w:hAnsiTheme="majorBidi" w:cstheme="majorBidi"/>
                <w:b/>
                <w:iCs/>
                <w:color w:val="000000"/>
              </w:rPr>
              <w:t>Interview Code</w:t>
            </w:r>
          </w:p>
        </w:tc>
        <w:tc>
          <w:tcPr>
            <w:tcW w:w="440" w:type="pct"/>
            <w:vAlign w:val="center"/>
            <w:hideMark/>
          </w:tcPr>
          <w:p w14:paraId="7D4A9D6F" w14:textId="77777777" w:rsidR="00F073C0" w:rsidRPr="008819FD" w:rsidRDefault="00F073C0" w:rsidP="0099552A">
            <w:pPr>
              <w:shd w:val="clear" w:color="auto" w:fill="FFFFFF"/>
              <w:spacing w:after="0" w:line="480" w:lineRule="auto"/>
              <w:rPr>
                <w:rFonts w:asciiTheme="majorBidi" w:eastAsia="Times New Roman" w:hAnsiTheme="majorBidi" w:cstheme="majorBidi"/>
                <w:b/>
                <w:iCs/>
                <w:color w:val="000000"/>
              </w:rPr>
            </w:pPr>
            <w:r>
              <w:rPr>
                <w:rFonts w:asciiTheme="majorBidi" w:eastAsia="Times New Roman" w:hAnsiTheme="majorBidi" w:cstheme="majorBidi"/>
                <w:b/>
                <w:iCs/>
                <w:color w:val="000000"/>
              </w:rPr>
              <w:t>Date</w:t>
            </w:r>
          </w:p>
        </w:tc>
        <w:tc>
          <w:tcPr>
            <w:tcW w:w="371" w:type="pct"/>
            <w:vAlign w:val="center"/>
            <w:hideMark/>
          </w:tcPr>
          <w:p w14:paraId="3286B92A" w14:textId="77777777" w:rsidR="00F073C0" w:rsidRPr="008819FD" w:rsidRDefault="00F073C0" w:rsidP="0099552A">
            <w:pPr>
              <w:shd w:val="clear" w:color="auto" w:fill="FFFFFF"/>
              <w:spacing w:after="0" w:line="480" w:lineRule="auto"/>
              <w:rPr>
                <w:rFonts w:asciiTheme="majorBidi" w:eastAsia="Times New Roman" w:hAnsiTheme="majorBidi" w:cstheme="majorBidi"/>
                <w:b/>
                <w:iCs/>
                <w:color w:val="000000"/>
              </w:rPr>
            </w:pPr>
            <w:r>
              <w:rPr>
                <w:rFonts w:asciiTheme="majorBidi" w:eastAsia="Times New Roman" w:hAnsiTheme="majorBidi" w:cstheme="majorBidi"/>
                <w:b/>
                <w:iCs/>
                <w:color w:val="000000"/>
              </w:rPr>
              <w:t>Time</w:t>
            </w:r>
          </w:p>
        </w:tc>
        <w:tc>
          <w:tcPr>
            <w:tcW w:w="589" w:type="pct"/>
            <w:vAlign w:val="center"/>
            <w:hideMark/>
          </w:tcPr>
          <w:p w14:paraId="757A5440" w14:textId="77777777" w:rsidR="00F073C0" w:rsidRPr="008819FD" w:rsidRDefault="00F073C0" w:rsidP="0099552A">
            <w:pPr>
              <w:shd w:val="clear" w:color="auto" w:fill="FFFFFF"/>
              <w:spacing w:after="0" w:line="480" w:lineRule="auto"/>
              <w:rPr>
                <w:rFonts w:asciiTheme="majorBidi" w:eastAsia="Times New Roman" w:hAnsiTheme="majorBidi" w:cstheme="majorBidi"/>
                <w:b/>
                <w:iCs/>
                <w:color w:val="000000"/>
              </w:rPr>
            </w:pPr>
            <w:r>
              <w:rPr>
                <w:rFonts w:asciiTheme="majorBidi" w:eastAsia="Times New Roman" w:hAnsiTheme="majorBidi" w:cstheme="majorBidi"/>
                <w:b/>
                <w:iCs/>
                <w:color w:val="000000"/>
              </w:rPr>
              <w:t>Position</w:t>
            </w:r>
          </w:p>
        </w:tc>
        <w:tc>
          <w:tcPr>
            <w:tcW w:w="458" w:type="pct"/>
            <w:vAlign w:val="center"/>
            <w:hideMark/>
          </w:tcPr>
          <w:p w14:paraId="70FF0CD7" w14:textId="77777777" w:rsidR="00F073C0" w:rsidRPr="008819FD" w:rsidRDefault="00F073C0" w:rsidP="0099552A">
            <w:pPr>
              <w:shd w:val="clear" w:color="auto" w:fill="FFFFFF"/>
              <w:spacing w:after="0" w:line="480" w:lineRule="auto"/>
              <w:rPr>
                <w:rFonts w:asciiTheme="majorBidi" w:eastAsia="Times New Roman" w:hAnsiTheme="majorBidi" w:cstheme="majorBidi"/>
                <w:b/>
                <w:iCs/>
                <w:color w:val="000000"/>
              </w:rPr>
            </w:pPr>
            <w:r>
              <w:rPr>
                <w:rFonts w:asciiTheme="majorBidi" w:eastAsia="Times New Roman" w:hAnsiTheme="majorBidi" w:cstheme="majorBidi"/>
                <w:b/>
                <w:iCs/>
                <w:color w:val="000000"/>
              </w:rPr>
              <w:t>Place</w:t>
            </w:r>
          </w:p>
        </w:tc>
        <w:tc>
          <w:tcPr>
            <w:tcW w:w="651" w:type="pct"/>
            <w:vAlign w:val="center"/>
            <w:hideMark/>
          </w:tcPr>
          <w:p w14:paraId="039C7C09" w14:textId="77777777" w:rsidR="00F073C0" w:rsidRPr="008819FD" w:rsidRDefault="00F073C0" w:rsidP="0099552A">
            <w:pPr>
              <w:shd w:val="clear" w:color="auto" w:fill="FFFFFF"/>
              <w:spacing w:after="0" w:line="480" w:lineRule="auto"/>
              <w:rPr>
                <w:rFonts w:asciiTheme="majorBidi" w:eastAsia="Times New Roman" w:hAnsiTheme="majorBidi" w:cstheme="majorBidi"/>
                <w:b/>
                <w:iCs/>
                <w:color w:val="000000"/>
              </w:rPr>
            </w:pPr>
            <w:r>
              <w:rPr>
                <w:rFonts w:asciiTheme="majorBidi" w:eastAsia="Times New Roman" w:hAnsiTheme="majorBidi" w:cstheme="majorBidi"/>
                <w:b/>
                <w:iCs/>
                <w:color w:val="000000"/>
              </w:rPr>
              <w:t>Years of Experience</w:t>
            </w:r>
          </w:p>
        </w:tc>
        <w:tc>
          <w:tcPr>
            <w:tcW w:w="744" w:type="pct"/>
            <w:vAlign w:val="center"/>
            <w:hideMark/>
          </w:tcPr>
          <w:p w14:paraId="254F1659" w14:textId="77777777" w:rsidR="00F073C0" w:rsidRPr="008819FD" w:rsidRDefault="00F073C0" w:rsidP="0099552A">
            <w:pPr>
              <w:shd w:val="clear" w:color="auto" w:fill="FFFFFF"/>
              <w:spacing w:after="0" w:line="480" w:lineRule="auto"/>
              <w:rPr>
                <w:rFonts w:asciiTheme="majorBidi" w:eastAsia="Times New Roman" w:hAnsiTheme="majorBidi" w:cstheme="majorBidi"/>
                <w:b/>
                <w:iCs/>
                <w:color w:val="000000"/>
              </w:rPr>
            </w:pPr>
            <w:r>
              <w:rPr>
                <w:rFonts w:asciiTheme="majorBidi" w:eastAsia="Times New Roman" w:hAnsiTheme="majorBidi" w:cstheme="majorBidi"/>
                <w:b/>
                <w:iCs/>
                <w:color w:val="000000"/>
              </w:rPr>
              <w:t>Educational Qualification</w:t>
            </w:r>
          </w:p>
        </w:tc>
        <w:tc>
          <w:tcPr>
            <w:tcW w:w="595" w:type="pct"/>
            <w:vAlign w:val="center"/>
            <w:hideMark/>
          </w:tcPr>
          <w:p w14:paraId="66192D32" w14:textId="77777777" w:rsidR="00F073C0" w:rsidRPr="008819FD" w:rsidRDefault="00F073C0" w:rsidP="0099552A">
            <w:pPr>
              <w:shd w:val="clear" w:color="auto" w:fill="FFFFFF"/>
              <w:spacing w:after="0" w:line="480" w:lineRule="auto"/>
              <w:rPr>
                <w:rFonts w:asciiTheme="majorBidi" w:eastAsia="Times New Roman" w:hAnsiTheme="majorBidi" w:cstheme="majorBidi"/>
                <w:b/>
                <w:iCs/>
                <w:color w:val="000000"/>
              </w:rPr>
            </w:pPr>
            <w:r>
              <w:rPr>
                <w:rFonts w:asciiTheme="majorBidi" w:eastAsia="Times New Roman" w:hAnsiTheme="majorBidi" w:cstheme="majorBidi"/>
                <w:b/>
                <w:iCs/>
                <w:color w:val="000000"/>
              </w:rPr>
              <w:t>Mode of Interview</w:t>
            </w:r>
          </w:p>
        </w:tc>
      </w:tr>
      <w:tr w:rsidR="008B409F" w:rsidRPr="008819FD" w14:paraId="6E2A22E4" w14:textId="77777777" w:rsidTr="00E31E3D">
        <w:trPr>
          <w:trHeight w:val="1745"/>
          <w:jc w:val="center"/>
        </w:trPr>
        <w:tc>
          <w:tcPr>
            <w:tcW w:w="576" w:type="pct"/>
            <w:vAlign w:val="center"/>
            <w:hideMark/>
          </w:tcPr>
          <w:p w14:paraId="4BF0E8D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lastRenderedPageBreak/>
              <w:t>1</w:t>
            </w:r>
          </w:p>
        </w:tc>
        <w:tc>
          <w:tcPr>
            <w:tcW w:w="576" w:type="pct"/>
            <w:vAlign w:val="center"/>
            <w:hideMark/>
          </w:tcPr>
          <w:p w14:paraId="74216FD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INT-01</w:t>
            </w:r>
          </w:p>
        </w:tc>
        <w:tc>
          <w:tcPr>
            <w:tcW w:w="440" w:type="pct"/>
            <w:vAlign w:val="center"/>
            <w:hideMark/>
          </w:tcPr>
          <w:p w14:paraId="41CBC4D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15 July</w:t>
            </w:r>
          </w:p>
        </w:tc>
        <w:tc>
          <w:tcPr>
            <w:tcW w:w="371" w:type="pct"/>
            <w:vAlign w:val="center"/>
            <w:hideMark/>
          </w:tcPr>
          <w:p w14:paraId="414A9E1B"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9:00 a.m.</w:t>
            </w:r>
          </w:p>
        </w:tc>
        <w:tc>
          <w:tcPr>
            <w:tcW w:w="589" w:type="pct"/>
            <w:vAlign w:val="center"/>
            <w:hideMark/>
          </w:tcPr>
          <w:p w14:paraId="66A04846"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Arbitrator – DIAC</w:t>
            </w:r>
          </w:p>
        </w:tc>
        <w:tc>
          <w:tcPr>
            <w:tcW w:w="458" w:type="pct"/>
            <w:vAlign w:val="center"/>
            <w:hideMark/>
          </w:tcPr>
          <w:p w14:paraId="2E0196CC"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Dubai</w:t>
            </w:r>
          </w:p>
        </w:tc>
        <w:tc>
          <w:tcPr>
            <w:tcW w:w="651" w:type="pct"/>
            <w:vAlign w:val="center"/>
            <w:hideMark/>
          </w:tcPr>
          <w:p w14:paraId="0E02E32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18</w:t>
            </w:r>
          </w:p>
        </w:tc>
        <w:tc>
          <w:tcPr>
            <w:tcW w:w="744" w:type="pct"/>
            <w:vAlign w:val="center"/>
            <w:hideMark/>
          </w:tcPr>
          <w:p w14:paraId="1FD04CB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PhD in Law</w:t>
            </w:r>
          </w:p>
        </w:tc>
        <w:tc>
          <w:tcPr>
            <w:tcW w:w="595" w:type="pct"/>
            <w:vAlign w:val="center"/>
            <w:hideMark/>
          </w:tcPr>
          <w:p w14:paraId="151BFF9F"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Face-to-face</w:t>
            </w:r>
          </w:p>
        </w:tc>
      </w:tr>
      <w:tr w:rsidR="008B409F" w:rsidRPr="008819FD" w14:paraId="35BFF290" w14:textId="77777777" w:rsidTr="00E31E3D">
        <w:trPr>
          <w:trHeight w:val="1745"/>
          <w:jc w:val="center"/>
        </w:trPr>
        <w:tc>
          <w:tcPr>
            <w:tcW w:w="576" w:type="pct"/>
            <w:vAlign w:val="center"/>
            <w:hideMark/>
          </w:tcPr>
          <w:p w14:paraId="61898481"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w:t>
            </w:r>
          </w:p>
        </w:tc>
        <w:tc>
          <w:tcPr>
            <w:tcW w:w="576" w:type="pct"/>
            <w:vAlign w:val="center"/>
            <w:hideMark/>
          </w:tcPr>
          <w:p w14:paraId="73AD367B"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INT-02</w:t>
            </w:r>
          </w:p>
        </w:tc>
        <w:tc>
          <w:tcPr>
            <w:tcW w:w="440" w:type="pct"/>
            <w:vAlign w:val="center"/>
            <w:hideMark/>
          </w:tcPr>
          <w:p w14:paraId="571002EB"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15 July</w:t>
            </w:r>
          </w:p>
        </w:tc>
        <w:tc>
          <w:tcPr>
            <w:tcW w:w="371" w:type="pct"/>
            <w:vAlign w:val="center"/>
            <w:hideMark/>
          </w:tcPr>
          <w:p w14:paraId="1C4CE37D"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11:00 a.m.</w:t>
            </w:r>
          </w:p>
        </w:tc>
        <w:tc>
          <w:tcPr>
            <w:tcW w:w="589" w:type="pct"/>
            <w:vAlign w:val="center"/>
            <w:hideMark/>
          </w:tcPr>
          <w:p w14:paraId="4CBFFE6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Arbitrator – ADGM</w:t>
            </w:r>
          </w:p>
        </w:tc>
        <w:tc>
          <w:tcPr>
            <w:tcW w:w="458" w:type="pct"/>
            <w:vAlign w:val="center"/>
            <w:hideMark/>
          </w:tcPr>
          <w:p w14:paraId="7C8EFCD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Abu Dhabi</w:t>
            </w:r>
          </w:p>
        </w:tc>
        <w:tc>
          <w:tcPr>
            <w:tcW w:w="651" w:type="pct"/>
            <w:vAlign w:val="center"/>
            <w:hideMark/>
          </w:tcPr>
          <w:p w14:paraId="1486E55B"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20</w:t>
            </w:r>
          </w:p>
        </w:tc>
        <w:tc>
          <w:tcPr>
            <w:tcW w:w="744" w:type="pct"/>
            <w:vAlign w:val="center"/>
            <w:hideMark/>
          </w:tcPr>
          <w:p w14:paraId="1619835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LLM</w:t>
            </w:r>
          </w:p>
        </w:tc>
        <w:tc>
          <w:tcPr>
            <w:tcW w:w="595" w:type="pct"/>
            <w:vAlign w:val="center"/>
            <w:hideMark/>
          </w:tcPr>
          <w:p w14:paraId="6BD06BAE"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Face-to-face</w:t>
            </w:r>
          </w:p>
        </w:tc>
      </w:tr>
      <w:tr w:rsidR="008B409F" w:rsidRPr="008819FD" w14:paraId="42AAD4CD" w14:textId="77777777" w:rsidTr="00E31E3D">
        <w:trPr>
          <w:trHeight w:val="2828"/>
          <w:jc w:val="center"/>
        </w:trPr>
        <w:tc>
          <w:tcPr>
            <w:tcW w:w="576" w:type="pct"/>
            <w:vAlign w:val="center"/>
            <w:hideMark/>
          </w:tcPr>
          <w:p w14:paraId="1FC95E00"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3</w:t>
            </w:r>
          </w:p>
        </w:tc>
        <w:tc>
          <w:tcPr>
            <w:tcW w:w="576" w:type="pct"/>
            <w:vAlign w:val="center"/>
            <w:hideMark/>
          </w:tcPr>
          <w:p w14:paraId="0B27D7C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INT-03</w:t>
            </w:r>
          </w:p>
        </w:tc>
        <w:tc>
          <w:tcPr>
            <w:tcW w:w="440" w:type="pct"/>
            <w:vAlign w:val="center"/>
            <w:hideMark/>
          </w:tcPr>
          <w:p w14:paraId="128CD1F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16 July</w:t>
            </w:r>
          </w:p>
        </w:tc>
        <w:tc>
          <w:tcPr>
            <w:tcW w:w="371" w:type="pct"/>
            <w:vAlign w:val="center"/>
            <w:hideMark/>
          </w:tcPr>
          <w:p w14:paraId="3F5FDC2E"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2:00 p.m.</w:t>
            </w:r>
          </w:p>
        </w:tc>
        <w:tc>
          <w:tcPr>
            <w:tcW w:w="589" w:type="pct"/>
            <w:vAlign w:val="center"/>
            <w:hideMark/>
          </w:tcPr>
          <w:p w14:paraId="5B8E9651"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Academic – UAE University</w:t>
            </w:r>
          </w:p>
        </w:tc>
        <w:tc>
          <w:tcPr>
            <w:tcW w:w="458" w:type="pct"/>
            <w:vAlign w:val="center"/>
            <w:hideMark/>
          </w:tcPr>
          <w:p w14:paraId="082997D1"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Al Ain</w:t>
            </w:r>
          </w:p>
        </w:tc>
        <w:tc>
          <w:tcPr>
            <w:tcW w:w="651" w:type="pct"/>
            <w:vAlign w:val="center"/>
            <w:hideMark/>
          </w:tcPr>
          <w:p w14:paraId="3EB1E01A"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15</w:t>
            </w:r>
          </w:p>
        </w:tc>
        <w:tc>
          <w:tcPr>
            <w:tcW w:w="744" w:type="pct"/>
            <w:vAlign w:val="center"/>
            <w:hideMark/>
          </w:tcPr>
          <w:p w14:paraId="48EF219B"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PhD in Commercial Law</w:t>
            </w:r>
          </w:p>
        </w:tc>
        <w:tc>
          <w:tcPr>
            <w:tcW w:w="595" w:type="pct"/>
            <w:vAlign w:val="center"/>
            <w:hideMark/>
          </w:tcPr>
          <w:p w14:paraId="18E9212F"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E-mail</w:t>
            </w:r>
          </w:p>
        </w:tc>
      </w:tr>
      <w:tr w:rsidR="008B409F" w:rsidRPr="008819FD" w14:paraId="060139BE" w14:textId="77777777" w:rsidTr="00E31E3D">
        <w:trPr>
          <w:trHeight w:val="1735"/>
          <w:jc w:val="center"/>
        </w:trPr>
        <w:tc>
          <w:tcPr>
            <w:tcW w:w="576" w:type="pct"/>
            <w:vAlign w:val="center"/>
            <w:hideMark/>
          </w:tcPr>
          <w:p w14:paraId="2EB29650"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4</w:t>
            </w:r>
          </w:p>
        </w:tc>
        <w:tc>
          <w:tcPr>
            <w:tcW w:w="576" w:type="pct"/>
            <w:vAlign w:val="center"/>
            <w:hideMark/>
          </w:tcPr>
          <w:p w14:paraId="143D4CBD"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INT-04</w:t>
            </w:r>
          </w:p>
        </w:tc>
        <w:tc>
          <w:tcPr>
            <w:tcW w:w="440" w:type="pct"/>
            <w:vAlign w:val="center"/>
            <w:hideMark/>
          </w:tcPr>
          <w:p w14:paraId="0EB5A1B1"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17 July</w:t>
            </w:r>
          </w:p>
        </w:tc>
        <w:tc>
          <w:tcPr>
            <w:tcW w:w="371" w:type="pct"/>
            <w:vAlign w:val="center"/>
            <w:hideMark/>
          </w:tcPr>
          <w:p w14:paraId="6908AB29"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10:30 a.m.</w:t>
            </w:r>
          </w:p>
        </w:tc>
        <w:tc>
          <w:tcPr>
            <w:tcW w:w="589" w:type="pct"/>
            <w:vAlign w:val="center"/>
            <w:hideMark/>
          </w:tcPr>
          <w:p w14:paraId="0C9B3604"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Lawyer</w:t>
            </w:r>
          </w:p>
        </w:tc>
        <w:tc>
          <w:tcPr>
            <w:tcW w:w="458" w:type="pct"/>
            <w:vAlign w:val="center"/>
            <w:hideMark/>
          </w:tcPr>
          <w:p w14:paraId="3973DD11"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Dubai</w:t>
            </w:r>
          </w:p>
        </w:tc>
        <w:tc>
          <w:tcPr>
            <w:tcW w:w="651" w:type="pct"/>
            <w:vAlign w:val="center"/>
            <w:hideMark/>
          </w:tcPr>
          <w:p w14:paraId="2CF4B60F"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12</w:t>
            </w:r>
          </w:p>
        </w:tc>
        <w:tc>
          <w:tcPr>
            <w:tcW w:w="744" w:type="pct"/>
            <w:vAlign w:val="center"/>
            <w:hideMark/>
          </w:tcPr>
          <w:p w14:paraId="42F931F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LLB</w:t>
            </w:r>
          </w:p>
        </w:tc>
        <w:tc>
          <w:tcPr>
            <w:tcW w:w="595" w:type="pct"/>
            <w:vAlign w:val="center"/>
            <w:hideMark/>
          </w:tcPr>
          <w:p w14:paraId="6CFECCBC"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WhatsApp</w:t>
            </w:r>
          </w:p>
        </w:tc>
      </w:tr>
      <w:tr w:rsidR="008B409F" w:rsidRPr="008819FD" w14:paraId="4A4EFBEC" w14:textId="77777777" w:rsidTr="00E31E3D">
        <w:trPr>
          <w:trHeight w:val="2282"/>
          <w:jc w:val="center"/>
        </w:trPr>
        <w:tc>
          <w:tcPr>
            <w:tcW w:w="576" w:type="pct"/>
            <w:vAlign w:val="center"/>
            <w:hideMark/>
          </w:tcPr>
          <w:p w14:paraId="7810E1CC"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5</w:t>
            </w:r>
          </w:p>
        </w:tc>
        <w:tc>
          <w:tcPr>
            <w:tcW w:w="576" w:type="pct"/>
            <w:vAlign w:val="center"/>
            <w:hideMark/>
          </w:tcPr>
          <w:p w14:paraId="3AB33CA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INT-05</w:t>
            </w:r>
          </w:p>
        </w:tc>
        <w:tc>
          <w:tcPr>
            <w:tcW w:w="440" w:type="pct"/>
            <w:vAlign w:val="center"/>
            <w:hideMark/>
          </w:tcPr>
          <w:p w14:paraId="092AC21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18 July</w:t>
            </w:r>
          </w:p>
        </w:tc>
        <w:tc>
          <w:tcPr>
            <w:tcW w:w="371" w:type="pct"/>
            <w:vAlign w:val="center"/>
            <w:hideMark/>
          </w:tcPr>
          <w:p w14:paraId="4864A3A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1:00 p.m.</w:t>
            </w:r>
          </w:p>
        </w:tc>
        <w:tc>
          <w:tcPr>
            <w:tcW w:w="589" w:type="pct"/>
            <w:vAlign w:val="center"/>
            <w:hideMark/>
          </w:tcPr>
          <w:p w14:paraId="57E71974"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Academic – Univ. of Sharjah</w:t>
            </w:r>
          </w:p>
        </w:tc>
        <w:tc>
          <w:tcPr>
            <w:tcW w:w="458" w:type="pct"/>
            <w:vAlign w:val="center"/>
            <w:hideMark/>
          </w:tcPr>
          <w:p w14:paraId="57C86489"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Sharjah</w:t>
            </w:r>
          </w:p>
        </w:tc>
        <w:tc>
          <w:tcPr>
            <w:tcW w:w="651" w:type="pct"/>
            <w:vAlign w:val="center"/>
            <w:hideMark/>
          </w:tcPr>
          <w:p w14:paraId="3DC5BD1A"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10</w:t>
            </w:r>
          </w:p>
        </w:tc>
        <w:tc>
          <w:tcPr>
            <w:tcW w:w="744" w:type="pct"/>
            <w:vAlign w:val="center"/>
            <w:hideMark/>
          </w:tcPr>
          <w:p w14:paraId="65F46669"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PhD in Arbitration Law</w:t>
            </w:r>
          </w:p>
        </w:tc>
        <w:tc>
          <w:tcPr>
            <w:tcW w:w="595" w:type="pct"/>
            <w:vAlign w:val="center"/>
            <w:hideMark/>
          </w:tcPr>
          <w:p w14:paraId="6C09AD6C"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E-mail</w:t>
            </w:r>
          </w:p>
        </w:tc>
      </w:tr>
      <w:tr w:rsidR="008B409F" w:rsidRPr="008819FD" w14:paraId="4A576AA4" w14:textId="77777777" w:rsidTr="00E31E3D">
        <w:trPr>
          <w:trHeight w:val="1745"/>
          <w:jc w:val="center"/>
        </w:trPr>
        <w:tc>
          <w:tcPr>
            <w:tcW w:w="576" w:type="pct"/>
            <w:vAlign w:val="center"/>
            <w:hideMark/>
          </w:tcPr>
          <w:p w14:paraId="532377F5"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6</w:t>
            </w:r>
          </w:p>
        </w:tc>
        <w:tc>
          <w:tcPr>
            <w:tcW w:w="576" w:type="pct"/>
            <w:vAlign w:val="center"/>
            <w:hideMark/>
          </w:tcPr>
          <w:p w14:paraId="12BDC91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INT-06</w:t>
            </w:r>
          </w:p>
        </w:tc>
        <w:tc>
          <w:tcPr>
            <w:tcW w:w="440" w:type="pct"/>
            <w:vAlign w:val="center"/>
            <w:hideMark/>
          </w:tcPr>
          <w:p w14:paraId="15D793EE"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20 July</w:t>
            </w:r>
          </w:p>
        </w:tc>
        <w:tc>
          <w:tcPr>
            <w:tcW w:w="371" w:type="pct"/>
            <w:vAlign w:val="center"/>
            <w:hideMark/>
          </w:tcPr>
          <w:p w14:paraId="0A52C384"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8:30 a.m.</w:t>
            </w:r>
          </w:p>
        </w:tc>
        <w:tc>
          <w:tcPr>
            <w:tcW w:w="589" w:type="pct"/>
            <w:vAlign w:val="center"/>
            <w:hideMark/>
          </w:tcPr>
          <w:p w14:paraId="24235F5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Arbitrator – DIAC</w:t>
            </w:r>
          </w:p>
        </w:tc>
        <w:tc>
          <w:tcPr>
            <w:tcW w:w="458" w:type="pct"/>
            <w:vAlign w:val="center"/>
            <w:hideMark/>
          </w:tcPr>
          <w:p w14:paraId="7C0C816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Dubai</w:t>
            </w:r>
          </w:p>
        </w:tc>
        <w:tc>
          <w:tcPr>
            <w:tcW w:w="651" w:type="pct"/>
            <w:vAlign w:val="center"/>
            <w:hideMark/>
          </w:tcPr>
          <w:p w14:paraId="06CCA070"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22</w:t>
            </w:r>
          </w:p>
        </w:tc>
        <w:tc>
          <w:tcPr>
            <w:tcW w:w="744" w:type="pct"/>
            <w:vAlign w:val="center"/>
            <w:hideMark/>
          </w:tcPr>
          <w:p w14:paraId="7333AAB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PhD in International Law</w:t>
            </w:r>
          </w:p>
        </w:tc>
        <w:tc>
          <w:tcPr>
            <w:tcW w:w="595" w:type="pct"/>
            <w:vAlign w:val="center"/>
            <w:hideMark/>
          </w:tcPr>
          <w:p w14:paraId="20286FD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Face-to-face</w:t>
            </w:r>
          </w:p>
        </w:tc>
      </w:tr>
      <w:tr w:rsidR="008B409F" w:rsidRPr="008819FD" w14:paraId="463C8704" w14:textId="77777777" w:rsidTr="00E31E3D">
        <w:trPr>
          <w:trHeight w:val="1745"/>
          <w:jc w:val="center"/>
        </w:trPr>
        <w:tc>
          <w:tcPr>
            <w:tcW w:w="576" w:type="pct"/>
            <w:vAlign w:val="center"/>
            <w:hideMark/>
          </w:tcPr>
          <w:p w14:paraId="16A2DFC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lastRenderedPageBreak/>
              <w:t>7</w:t>
            </w:r>
          </w:p>
        </w:tc>
        <w:tc>
          <w:tcPr>
            <w:tcW w:w="576" w:type="pct"/>
            <w:vAlign w:val="center"/>
            <w:hideMark/>
          </w:tcPr>
          <w:p w14:paraId="016EE894"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INT-07</w:t>
            </w:r>
          </w:p>
        </w:tc>
        <w:tc>
          <w:tcPr>
            <w:tcW w:w="440" w:type="pct"/>
            <w:vAlign w:val="center"/>
            <w:hideMark/>
          </w:tcPr>
          <w:p w14:paraId="16DD13BD"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21 July</w:t>
            </w:r>
          </w:p>
        </w:tc>
        <w:tc>
          <w:tcPr>
            <w:tcW w:w="371" w:type="pct"/>
            <w:vAlign w:val="center"/>
            <w:hideMark/>
          </w:tcPr>
          <w:p w14:paraId="3A4B0650"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12:00 p.m.</w:t>
            </w:r>
          </w:p>
        </w:tc>
        <w:tc>
          <w:tcPr>
            <w:tcW w:w="589" w:type="pct"/>
            <w:vAlign w:val="center"/>
            <w:hideMark/>
          </w:tcPr>
          <w:p w14:paraId="6B3E096F"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Lawyer</w:t>
            </w:r>
          </w:p>
        </w:tc>
        <w:tc>
          <w:tcPr>
            <w:tcW w:w="458" w:type="pct"/>
            <w:vAlign w:val="center"/>
            <w:hideMark/>
          </w:tcPr>
          <w:p w14:paraId="45FCCBBA"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Abu Dhabi</w:t>
            </w:r>
          </w:p>
        </w:tc>
        <w:tc>
          <w:tcPr>
            <w:tcW w:w="651" w:type="pct"/>
            <w:vAlign w:val="center"/>
            <w:hideMark/>
          </w:tcPr>
          <w:p w14:paraId="0E2087B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14</w:t>
            </w:r>
          </w:p>
        </w:tc>
        <w:tc>
          <w:tcPr>
            <w:tcW w:w="744" w:type="pct"/>
            <w:vAlign w:val="center"/>
            <w:hideMark/>
          </w:tcPr>
          <w:p w14:paraId="11028B70"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LLM</w:t>
            </w:r>
          </w:p>
        </w:tc>
        <w:tc>
          <w:tcPr>
            <w:tcW w:w="595" w:type="pct"/>
            <w:vAlign w:val="center"/>
            <w:hideMark/>
          </w:tcPr>
          <w:p w14:paraId="29ABFE0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WhatsApp</w:t>
            </w:r>
          </w:p>
        </w:tc>
      </w:tr>
      <w:tr w:rsidR="008B409F" w:rsidRPr="008819FD" w14:paraId="2C73F0A3" w14:textId="77777777" w:rsidTr="00E31E3D">
        <w:trPr>
          <w:trHeight w:val="2828"/>
          <w:jc w:val="center"/>
        </w:trPr>
        <w:tc>
          <w:tcPr>
            <w:tcW w:w="576" w:type="pct"/>
            <w:vAlign w:val="center"/>
            <w:hideMark/>
          </w:tcPr>
          <w:p w14:paraId="1B147AB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8</w:t>
            </w:r>
          </w:p>
        </w:tc>
        <w:tc>
          <w:tcPr>
            <w:tcW w:w="576" w:type="pct"/>
            <w:vAlign w:val="center"/>
            <w:hideMark/>
          </w:tcPr>
          <w:p w14:paraId="7BB3DB1F"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INT-08</w:t>
            </w:r>
          </w:p>
        </w:tc>
        <w:tc>
          <w:tcPr>
            <w:tcW w:w="440" w:type="pct"/>
            <w:vAlign w:val="center"/>
            <w:hideMark/>
          </w:tcPr>
          <w:p w14:paraId="3DEA3A0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22 July</w:t>
            </w:r>
          </w:p>
        </w:tc>
        <w:tc>
          <w:tcPr>
            <w:tcW w:w="371" w:type="pct"/>
            <w:vAlign w:val="center"/>
            <w:hideMark/>
          </w:tcPr>
          <w:p w14:paraId="5DC0416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2:30 p.m.</w:t>
            </w:r>
          </w:p>
        </w:tc>
        <w:tc>
          <w:tcPr>
            <w:tcW w:w="589" w:type="pct"/>
            <w:vAlign w:val="center"/>
            <w:hideMark/>
          </w:tcPr>
          <w:p w14:paraId="339A151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Academic – UAE University</w:t>
            </w:r>
          </w:p>
        </w:tc>
        <w:tc>
          <w:tcPr>
            <w:tcW w:w="458" w:type="pct"/>
            <w:vAlign w:val="center"/>
            <w:hideMark/>
          </w:tcPr>
          <w:p w14:paraId="3927D2D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Al Ain</w:t>
            </w:r>
          </w:p>
        </w:tc>
        <w:tc>
          <w:tcPr>
            <w:tcW w:w="651" w:type="pct"/>
            <w:vAlign w:val="center"/>
            <w:hideMark/>
          </w:tcPr>
          <w:p w14:paraId="47CF965C"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17</w:t>
            </w:r>
          </w:p>
        </w:tc>
        <w:tc>
          <w:tcPr>
            <w:tcW w:w="744" w:type="pct"/>
            <w:vAlign w:val="center"/>
            <w:hideMark/>
          </w:tcPr>
          <w:p w14:paraId="01C8199F"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PhD in Law</w:t>
            </w:r>
          </w:p>
        </w:tc>
        <w:tc>
          <w:tcPr>
            <w:tcW w:w="595" w:type="pct"/>
            <w:vAlign w:val="center"/>
            <w:hideMark/>
          </w:tcPr>
          <w:p w14:paraId="748BA63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E-mail</w:t>
            </w:r>
          </w:p>
        </w:tc>
      </w:tr>
      <w:tr w:rsidR="008B409F" w:rsidRPr="008819FD" w14:paraId="12D51A13" w14:textId="77777777" w:rsidTr="00E31E3D">
        <w:trPr>
          <w:trHeight w:val="1735"/>
          <w:jc w:val="center"/>
        </w:trPr>
        <w:tc>
          <w:tcPr>
            <w:tcW w:w="576" w:type="pct"/>
            <w:vAlign w:val="center"/>
            <w:hideMark/>
          </w:tcPr>
          <w:p w14:paraId="76E35C3A"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9</w:t>
            </w:r>
          </w:p>
        </w:tc>
        <w:tc>
          <w:tcPr>
            <w:tcW w:w="576" w:type="pct"/>
            <w:vAlign w:val="center"/>
            <w:hideMark/>
          </w:tcPr>
          <w:p w14:paraId="0B56140F"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INT-09</w:t>
            </w:r>
          </w:p>
        </w:tc>
        <w:tc>
          <w:tcPr>
            <w:tcW w:w="440" w:type="pct"/>
            <w:vAlign w:val="center"/>
            <w:hideMark/>
          </w:tcPr>
          <w:p w14:paraId="004C480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23 July</w:t>
            </w:r>
          </w:p>
        </w:tc>
        <w:tc>
          <w:tcPr>
            <w:tcW w:w="371" w:type="pct"/>
            <w:vAlign w:val="center"/>
            <w:hideMark/>
          </w:tcPr>
          <w:p w14:paraId="09735649"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9:15 a.m.</w:t>
            </w:r>
          </w:p>
        </w:tc>
        <w:tc>
          <w:tcPr>
            <w:tcW w:w="589" w:type="pct"/>
            <w:vAlign w:val="center"/>
            <w:hideMark/>
          </w:tcPr>
          <w:p w14:paraId="28C1F50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Arbitrator – ADGM</w:t>
            </w:r>
          </w:p>
        </w:tc>
        <w:tc>
          <w:tcPr>
            <w:tcW w:w="458" w:type="pct"/>
            <w:vAlign w:val="center"/>
            <w:hideMark/>
          </w:tcPr>
          <w:p w14:paraId="33E1F2D6"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Abu Dhabi</w:t>
            </w:r>
          </w:p>
        </w:tc>
        <w:tc>
          <w:tcPr>
            <w:tcW w:w="651" w:type="pct"/>
            <w:vAlign w:val="center"/>
            <w:hideMark/>
          </w:tcPr>
          <w:p w14:paraId="7E2DDC8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25</w:t>
            </w:r>
          </w:p>
        </w:tc>
        <w:tc>
          <w:tcPr>
            <w:tcW w:w="744" w:type="pct"/>
            <w:vAlign w:val="center"/>
            <w:hideMark/>
          </w:tcPr>
          <w:p w14:paraId="40716AD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PhD in Arbitration</w:t>
            </w:r>
          </w:p>
        </w:tc>
        <w:tc>
          <w:tcPr>
            <w:tcW w:w="595" w:type="pct"/>
            <w:vAlign w:val="center"/>
            <w:hideMark/>
          </w:tcPr>
          <w:p w14:paraId="5A1C82DC"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Face-to-face</w:t>
            </w:r>
          </w:p>
        </w:tc>
      </w:tr>
      <w:tr w:rsidR="008B409F" w:rsidRPr="008819FD" w14:paraId="6F598EB1" w14:textId="77777777" w:rsidTr="00E31E3D">
        <w:trPr>
          <w:trHeight w:val="1745"/>
          <w:jc w:val="center"/>
        </w:trPr>
        <w:tc>
          <w:tcPr>
            <w:tcW w:w="576" w:type="pct"/>
            <w:vAlign w:val="center"/>
            <w:hideMark/>
          </w:tcPr>
          <w:p w14:paraId="145610D0"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10</w:t>
            </w:r>
          </w:p>
        </w:tc>
        <w:tc>
          <w:tcPr>
            <w:tcW w:w="576" w:type="pct"/>
            <w:vAlign w:val="center"/>
            <w:hideMark/>
          </w:tcPr>
          <w:p w14:paraId="44CFC119"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INT-10</w:t>
            </w:r>
          </w:p>
        </w:tc>
        <w:tc>
          <w:tcPr>
            <w:tcW w:w="440" w:type="pct"/>
            <w:vAlign w:val="center"/>
            <w:hideMark/>
          </w:tcPr>
          <w:p w14:paraId="712FA52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25 July</w:t>
            </w:r>
          </w:p>
        </w:tc>
        <w:tc>
          <w:tcPr>
            <w:tcW w:w="371" w:type="pct"/>
            <w:vAlign w:val="center"/>
            <w:hideMark/>
          </w:tcPr>
          <w:p w14:paraId="4BDF0D60"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11:45 a.m.</w:t>
            </w:r>
          </w:p>
        </w:tc>
        <w:tc>
          <w:tcPr>
            <w:tcW w:w="589" w:type="pct"/>
            <w:vAlign w:val="center"/>
            <w:hideMark/>
          </w:tcPr>
          <w:p w14:paraId="4710F7D0"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Lawyer</w:t>
            </w:r>
          </w:p>
        </w:tc>
        <w:tc>
          <w:tcPr>
            <w:tcW w:w="458" w:type="pct"/>
            <w:vAlign w:val="center"/>
            <w:hideMark/>
          </w:tcPr>
          <w:p w14:paraId="70FFBB8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Dubai</w:t>
            </w:r>
          </w:p>
        </w:tc>
        <w:tc>
          <w:tcPr>
            <w:tcW w:w="651" w:type="pct"/>
            <w:vAlign w:val="center"/>
            <w:hideMark/>
          </w:tcPr>
          <w:p w14:paraId="1DCA2980"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13</w:t>
            </w:r>
          </w:p>
        </w:tc>
        <w:tc>
          <w:tcPr>
            <w:tcW w:w="744" w:type="pct"/>
            <w:vAlign w:val="center"/>
            <w:hideMark/>
          </w:tcPr>
          <w:p w14:paraId="6FA6C5ED"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LLB</w:t>
            </w:r>
          </w:p>
        </w:tc>
        <w:tc>
          <w:tcPr>
            <w:tcW w:w="595" w:type="pct"/>
            <w:vAlign w:val="center"/>
            <w:hideMark/>
          </w:tcPr>
          <w:p w14:paraId="6C03F84D"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WhatsApp</w:t>
            </w:r>
          </w:p>
        </w:tc>
      </w:tr>
      <w:tr w:rsidR="008B409F" w:rsidRPr="008819FD" w14:paraId="0273E2FE" w14:textId="77777777" w:rsidTr="00E31E3D">
        <w:trPr>
          <w:trHeight w:val="2282"/>
          <w:jc w:val="center"/>
        </w:trPr>
        <w:tc>
          <w:tcPr>
            <w:tcW w:w="576" w:type="pct"/>
            <w:vAlign w:val="center"/>
            <w:hideMark/>
          </w:tcPr>
          <w:p w14:paraId="59C40BB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11</w:t>
            </w:r>
          </w:p>
        </w:tc>
        <w:tc>
          <w:tcPr>
            <w:tcW w:w="576" w:type="pct"/>
            <w:vAlign w:val="center"/>
            <w:hideMark/>
          </w:tcPr>
          <w:p w14:paraId="51026F94"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INT-11</w:t>
            </w:r>
          </w:p>
        </w:tc>
        <w:tc>
          <w:tcPr>
            <w:tcW w:w="440" w:type="pct"/>
            <w:vAlign w:val="center"/>
            <w:hideMark/>
          </w:tcPr>
          <w:p w14:paraId="657F6385"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28 July</w:t>
            </w:r>
          </w:p>
        </w:tc>
        <w:tc>
          <w:tcPr>
            <w:tcW w:w="371" w:type="pct"/>
            <w:vAlign w:val="center"/>
            <w:hideMark/>
          </w:tcPr>
          <w:p w14:paraId="6319CE9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1:30 p.m.</w:t>
            </w:r>
          </w:p>
        </w:tc>
        <w:tc>
          <w:tcPr>
            <w:tcW w:w="589" w:type="pct"/>
            <w:vAlign w:val="center"/>
            <w:hideMark/>
          </w:tcPr>
          <w:p w14:paraId="7017588F"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Academic – Univ. of Sharjah</w:t>
            </w:r>
          </w:p>
        </w:tc>
        <w:tc>
          <w:tcPr>
            <w:tcW w:w="458" w:type="pct"/>
            <w:vAlign w:val="center"/>
            <w:hideMark/>
          </w:tcPr>
          <w:p w14:paraId="4AAD60C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Sharjah</w:t>
            </w:r>
          </w:p>
        </w:tc>
        <w:tc>
          <w:tcPr>
            <w:tcW w:w="651" w:type="pct"/>
            <w:vAlign w:val="center"/>
            <w:hideMark/>
          </w:tcPr>
          <w:p w14:paraId="7865C139"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11</w:t>
            </w:r>
          </w:p>
        </w:tc>
        <w:tc>
          <w:tcPr>
            <w:tcW w:w="744" w:type="pct"/>
            <w:vAlign w:val="center"/>
            <w:hideMark/>
          </w:tcPr>
          <w:p w14:paraId="72B2A43C"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PhD in Commercial Arbitration</w:t>
            </w:r>
          </w:p>
        </w:tc>
        <w:tc>
          <w:tcPr>
            <w:tcW w:w="595" w:type="pct"/>
            <w:vAlign w:val="center"/>
            <w:hideMark/>
          </w:tcPr>
          <w:p w14:paraId="4A538DCE"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E-mail</w:t>
            </w:r>
          </w:p>
        </w:tc>
      </w:tr>
      <w:tr w:rsidR="008B409F" w:rsidRPr="008819FD" w14:paraId="1D6DB35B" w14:textId="77777777" w:rsidTr="00E31E3D">
        <w:trPr>
          <w:trHeight w:val="1745"/>
          <w:jc w:val="center"/>
        </w:trPr>
        <w:tc>
          <w:tcPr>
            <w:tcW w:w="576" w:type="pct"/>
            <w:vAlign w:val="center"/>
            <w:hideMark/>
          </w:tcPr>
          <w:p w14:paraId="32D7E4DE"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12</w:t>
            </w:r>
          </w:p>
        </w:tc>
        <w:tc>
          <w:tcPr>
            <w:tcW w:w="576" w:type="pct"/>
            <w:vAlign w:val="center"/>
            <w:hideMark/>
          </w:tcPr>
          <w:p w14:paraId="1F73F424"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INT-12</w:t>
            </w:r>
          </w:p>
        </w:tc>
        <w:tc>
          <w:tcPr>
            <w:tcW w:w="440" w:type="pct"/>
            <w:vAlign w:val="center"/>
            <w:hideMark/>
          </w:tcPr>
          <w:p w14:paraId="3E69CB3D"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30 July</w:t>
            </w:r>
          </w:p>
        </w:tc>
        <w:tc>
          <w:tcPr>
            <w:tcW w:w="371" w:type="pct"/>
            <w:vAlign w:val="center"/>
            <w:hideMark/>
          </w:tcPr>
          <w:p w14:paraId="7BA6CBE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10:00 a.m.</w:t>
            </w:r>
          </w:p>
        </w:tc>
        <w:tc>
          <w:tcPr>
            <w:tcW w:w="589" w:type="pct"/>
            <w:vAlign w:val="center"/>
            <w:hideMark/>
          </w:tcPr>
          <w:p w14:paraId="48E980F0"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Lawyer</w:t>
            </w:r>
          </w:p>
        </w:tc>
        <w:tc>
          <w:tcPr>
            <w:tcW w:w="458" w:type="pct"/>
            <w:vAlign w:val="center"/>
            <w:hideMark/>
          </w:tcPr>
          <w:p w14:paraId="41044231"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Abu Dhabi</w:t>
            </w:r>
          </w:p>
        </w:tc>
        <w:tc>
          <w:tcPr>
            <w:tcW w:w="651" w:type="pct"/>
            <w:vAlign w:val="center"/>
            <w:hideMark/>
          </w:tcPr>
          <w:p w14:paraId="5B6C24D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19</w:t>
            </w:r>
          </w:p>
        </w:tc>
        <w:tc>
          <w:tcPr>
            <w:tcW w:w="744" w:type="pct"/>
            <w:vAlign w:val="center"/>
            <w:hideMark/>
          </w:tcPr>
          <w:p w14:paraId="5ECD7004"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LLM</w:t>
            </w:r>
          </w:p>
        </w:tc>
        <w:tc>
          <w:tcPr>
            <w:tcW w:w="595" w:type="pct"/>
            <w:vAlign w:val="center"/>
            <w:hideMark/>
          </w:tcPr>
          <w:p w14:paraId="0A4F409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Face-to-face</w:t>
            </w:r>
          </w:p>
        </w:tc>
      </w:tr>
      <w:tr w:rsidR="008B409F" w:rsidRPr="008819FD" w14:paraId="6DCF4747" w14:textId="77777777" w:rsidTr="00E31E3D">
        <w:trPr>
          <w:trHeight w:val="1735"/>
          <w:jc w:val="center"/>
        </w:trPr>
        <w:tc>
          <w:tcPr>
            <w:tcW w:w="576" w:type="pct"/>
            <w:vAlign w:val="center"/>
            <w:hideMark/>
          </w:tcPr>
          <w:p w14:paraId="14865D0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lastRenderedPageBreak/>
              <w:t>13</w:t>
            </w:r>
          </w:p>
        </w:tc>
        <w:tc>
          <w:tcPr>
            <w:tcW w:w="576" w:type="pct"/>
            <w:vAlign w:val="center"/>
            <w:hideMark/>
          </w:tcPr>
          <w:p w14:paraId="01AB035A"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INT-13</w:t>
            </w:r>
          </w:p>
        </w:tc>
        <w:tc>
          <w:tcPr>
            <w:tcW w:w="440" w:type="pct"/>
            <w:vAlign w:val="center"/>
            <w:hideMark/>
          </w:tcPr>
          <w:p w14:paraId="18AC3D35"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 August</w:t>
            </w:r>
          </w:p>
        </w:tc>
        <w:tc>
          <w:tcPr>
            <w:tcW w:w="371" w:type="pct"/>
            <w:vAlign w:val="center"/>
            <w:hideMark/>
          </w:tcPr>
          <w:p w14:paraId="22B4E5DC"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2:15 p.m.</w:t>
            </w:r>
          </w:p>
        </w:tc>
        <w:tc>
          <w:tcPr>
            <w:tcW w:w="589" w:type="pct"/>
            <w:vAlign w:val="center"/>
            <w:hideMark/>
          </w:tcPr>
          <w:p w14:paraId="10E2FDF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Arbitrator – DIAC</w:t>
            </w:r>
          </w:p>
        </w:tc>
        <w:tc>
          <w:tcPr>
            <w:tcW w:w="458" w:type="pct"/>
            <w:vAlign w:val="center"/>
            <w:hideMark/>
          </w:tcPr>
          <w:p w14:paraId="6F35CCC9"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Dubai</w:t>
            </w:r>
          </w:p>
        </w:tc>
        <w:tc>
          <w:tcPr>
            <w:tcW w:w="651" w:type="pct"/>
            <w:vAlign w:val="center"/>
            <w:hideMark/>
          </w:tcPr>
          <w:p w14:paraId="7DFE35F9"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21</w:t>
            </w:r>
          </w:p>
        </w:tc>
        <w:tc>
          <w:tcPr>
            <w:tcW w:w="744" w:type="pct"/>
            <w:vAlign w:val="center"/>
            <w:hideMark/>
          </w:tcPr>
          <w:p w14:paraId="1C69948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PhD in Law</w:t>
            </w:r>
          </w:p>
        </w:tc>
        <w:tc>
          <w:tcPr>
            <w:tcW w:w="595" w:type="pct"/>
            <w:vAlign w:val="center"/>
            <w:hideMark/>
          </w:tcPr>
          <w:p w14:paraId="19730D3B"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Face-to-face</w:t>
            </w:r>
          </w:p>
        </w:tc>
      </w:tr>
      <w:tr w:rsidR="008B409F" w:rsidRPr="008819FD" w14:paraId="01D7DB7B" w14:textId="77777777" w:rsidTr="00E31E3D">
        <w:trPr>
          <w:trHeight w:val="2828"/>
          <w:jc w:val="center"/>
        </w:trPr>
        <w:tc>
          <w:tcPr>
            <w:tcW w:w="576" w:type="pct"/>
            <w:vAlign w:val="center"/>
            <w:hideMark/>
          </w:tcPr>
          <w:p w14:paraId="43EE6D7F"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14</w:t>
            </w:r>
          </w:p>
        </w:tc>
        <w:tc>
          <w:tcPr>
            <w:tcW w:w="576" w:type="pct"/>
            <w:vAlign w:val="center"/>
            <w:hideMark/>
          </w:tcPr>
          <w:p w14:paraId="2CEB80F9"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INT-14</w:t>
            </w:r>
          </w:p>
        </w:tc>
        <w:tc>
          <w:tcPr>
            <w:tcW w:w="440" w:type="pct"/>
            <w:vAlign w:val="center"/>
            <w:hideMark/>
          </w:tcPr>
          <w:p w14:paraId="61BF9025"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4 August</w:t>
            </w:r>
          </w:p>
        </w:tc>
        <w:tc>
          <w:tcPr>
            <w:tcW w:w="371" w:type="pct"/>
            <w:vAlign w:val="center"/>
            <w:hideMark/>
          </w:tcPr>
          <w:p w14:paraId="0D09C46B"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9:30 a.m.</w:t>
            </w:r>
          </w:p>
        </w:tc>
        <w:tc>
          <w:tcPr>
            <w:tcW w:w="589" w:type="pct"/>
            <w:vAlign w:val="center"/>
            <w:hideMark/>
          </w:tcPr>
          <w:p w14:paraId="4AC102B4"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Academic – UAE University</w:t>
            </w:r>
          </w:p>
        </w:tc>
        <w:tc>
          <w:tcPr>
            <w:tcW w:w="458" w:type="pct"/>
            <w:vAlign w:val="center"/>
            <w:hideMark/>
          </w:tcPr>
          <w:p w14:paraId="69919851"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Al Ain</w:t>
            </w:r>
          </w:p>
        </w:tc>
        <w:tc>
          <w:tcPr>
            <w:tcW w:w="651" w:type="pct"/>
            <w:vAlign w:val="center"/>
            <w:hideMark/>
          </w:tcPr>
          <w:p w14:paraId="118D4EF8"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16</w:t>
            </w:r>
          </w:p>
        </w:tc>
        <w:tc>
          <w:tcPr>
            <w:tcW w:w="744" w:type="pct"/>
            <w:vAlign w:val="center"/>
            <w:hideMark/>
          </w:tcPr>
          <w:p w14:paraId="751B370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PhD in Comparative Law</w:t>
            </w:r>
          </w:p>
        </w:tc>
        <w:tc>
          <w:tcPr>
            <w:tcW w:w="595" w:type="pct"/>
            <w:vAlign w:val="center"/>
            <w:hideMark/>
          </w:tcPr>
          <w:p w14:paraId="301A73C3"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E-mail</w:t>
            </w:r>
          </w:p>
        </w:tc>
      </w:tr>
      <w:tr w:rsidR="008B409F" w:rsidRPr="008819FD" w14:paraId="5A594C43" w14:textId="77777777" w:rsidTr="00E31E3D">
        <w:trPr>
          <w:trHeight w:val="1745"/>
          <w:jc w:val="center"/>
        </w:trPr>
        <w:tc>
          <w:tcPr>
            <w:tcW w:w="576" w:type="pct"/>
            <w:vAlign w:val="center"/>
            <w:hideMark/>
          </w:tcPr>
          <w:p w14:paraId="510BB6C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15</w:t>
            </w:r>
          </w:p>
        </w:tc>
        <w:tc>
          <w:tcPr>
            <w:tcW w:w="576" w:type="pct"/>
            <w:vAlign w:val="center"/>
            <w:hideMark/>
          </w:tcPr>
          <w:p w14:paraId="496FD9DE"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INT-15</w:t>
            </w:r>
          </w:p>
        </w:tc>
        <w:tc>
          <w:tcPr>
            <w:tcW w:w="440" w:type="pct"/>
            <w:vAlign w:val="center"/>
            <w:hideMark/>
          </w:tcPr>
          <w:p w14:paraId="630607DE"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6 August</w:t>
            </w:r>
          </w:p>
        </w:tc>
        <w:tc>
          <w:tcPr>
            <w:tcW w:w="371" w:type="pct"/>
            <w:vAlign w:val="center"/>
            <w:hideMark/>
          </w:tcPr>
          <w:p w14:paraId="7968B0E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12:45 p.m.</w:t>
            </w:r>
          </w:p>
        </w:tc>
        <w:tc>
          <w:tcPr>
            <w:tcW w:w="589" w:type="pct"/>
            <w:vAlign w:val="center"/>
            <w:hideMark/>
          </w:tcPr>
          <w:p w14:paraId="40578547"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Arbitrator – ADGM</w:t>
            </w:r>
          </w:p>
        </w:tc>
        <w:tc>
          <w:tcPr>
            <w:tcW w:w="458" w:type="pct"/>
            <w:vAlign w:val="center"/>
            <w:hideMark/>
          </w:tcPr>
          <w:p w14:paraId="78A0DC44"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Abu Dhabi</w:t>
            </w:r>
          </w:p>
        </w:tc>
        <w:tc>
          <w:tcPr>
            <w:tcW w:w="651" w:type="pct"/>
            <w:vAlign w:val="center"/>
            <w:hideMark/>
          </w:tcPr>
          <w:p w14:paraId="4E2F16FC"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23</w:t>
            </w:r>
          </w:p>
        </w:tc>
        <w:tc>
          <w:tcPr>
            <w:tcW w:w="744" w:type="pct"/>
            <w:vAlign w:val="center"/>
            <w:hideMark/>
          </w:tcPr>
          <w:p w14:paraId="7F91AC2B"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PhD in Arbitration</w:t>
            </w:r>
          </w:p>
        </w:tc>
        <w:tc>
          <w:tcPr>
            <w:tcW w:w="595" w:type="pct"/>
            <w:vAlign w:val="center"/>
            <w:hideMark/>
          </w:tcPr>
          <w:p w14:paraId="1286D9AC"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r>
              <w:rPr>
                <w:rFonts w:asciiTheme="majorBidi" w:eastAsia="Times New Roman" w:hAnsiTheme="majorBidi" w:cstheme="majorBidi"/>
                <w:iCs/>
                <w:color w:val="000000"/>
              </w:rPr>
              <w:t>Face-to-face</w:t>
            </w:r>
          </w:p>
        </w:tc>
      </w:tr>
    </w:tbl>
    <w:p w14:paraId="2ECF89B2" w14:textId="77777777" w:rsidR="00F073C0" w:rsidRPr="008819FD" w:rsidRDefault="00F073C0" w:rsidP="0099552A">
      <w:pPr>
        <w:shd w:val="clear" w:color="auto" w:fill="FFFFFF"/>
        <w:spacing w:after="0" w:line="480" w:lineRule="auto"/>
        <w:rPr>
          <w:rFonts w:asciiTheme="majorBidi" w:eastAsia="Times New Roman" w:hAnsiTheme="majorBidi" w:cstheme="majorBidi"/>
          <w:iCs/>
          <w:color w:val="000000"/>
        </w:rPr>
      </w:pPr>
    </w:p>
    <w:p w14:paraId="6AE245F5" w14:textId="77777777" w:rsidR="00F073C0" w:rsidRPr="008819FD" w:rsidRDefault="00F073C0" w:rsidP="00F03B5A">
      <w:pPr>
        <w:pStyle w:val="NormalWeb"/>
        <w:spacing w:line="480" w:lineRule="auto"/>
        <w:ind w:firstLine="720"/>
        <w:rPr>
          <w:rFonts w:asciiTheme="majorBidi" w:hAnsiTheme="majorBidi" w:cstheme="majorBidi"/>
        </w:rPr>
      </w:pPr>
      <w:r>
        <w:rPr>
          <w:rFonts w:asciiTheme="majorBidi" w:hAnsiTheme="majorBidi" w:cstheme="majorBidi"/>
        </w:rPr>
        <w:t>Interview coding allowed researchers to follow a formalized approach to organize and analyse their qualitative data, while protecting participants' privacy. A coding system of 15 codes (INT-01 to INT-15), enabled researchers to reference participant's responses consistently throughout the thematic analysis without compromising participant identity. The range of professionals included in the sample including arbitrators, lawyers and academics at various institutions added breadth to the research findings as it included different views of the ways in which online arbitration is being practiced within the UAE.</w:t>
      </w:r>
    </w:p>
    <w:p w14:paraId="05A2AF1C" w14:textId="77777777" w:rsidR="00F073C0" w:rsidRPr="008819FD" w:rsidRDefault="00F073C0" w:rsidP="00F03B5A">
      <w:pPr>
        <w:pStyle w:val="NormalWeb"/>
        <w:spacing w:line="480" w:lineRule="auto"/>
        <w:ind w:firstLine="720"/>
        <w:rPr>
          <w:rFonts w:asciiTheme="majorBidi" w:hAnsiTheme="majorBidi" w:cstheme="majorBidi"/>
        </w:rPr>
      </w:pPr>
      <w:r>
        <w:rPr>
          <w:rFonts w:asciiTheme="majorBidi" w:hAnsiTheme="majorBidi" w:cstheme="majorBidi"/>
        </w:rPr>
        <w:t xml:space="preserve">Years of experience and academic qualifications were varied among the participants of the sample, providing the researcher with access to experienced practitioners who have had a great deal of experience in arbitration, and academics who are able to provide theoretical and </w:t>
      </w:r>
      <w:r>
        <w:rPr>
          <w:rFonts w:asciiTheme="majorBidi" w:hAnsiTheme="majorBidi" w:cstheme="majorBidi"/>
        </w:rPr>
        <w:lastRenderedPageBreak/>
        <w:t>comparative viewpoints. This contrast between experienced practitioners and academics was important to identify not only the practical challenges associated with technology, data protection etc., but also the more general regulatory issues.</w:t>
      </w:r>
      <w:r>
        <w:rPr>
          <w:rFonts w:asciiTheme="majorBidi" w:hAnsiTheme="majorBidi" w:cstheme="majorBidi"/>
        </w:rPr>
        <w:br/>
        <w:t>Additionally, the use of different modes of interviewing (Face to Face Interviews via E-mail/WhatsApp) illustrated the flexibility of the study to accommodate the preferred and available methods of the participant. There was an interesting relationship between the type of interview used and the level of detail in the response. For example, Face to Face Interviews generally produced more detailed narratives than e-mail responses produced more structured and reflective responses. In conclusion, the coding process allowed researchers to develop a consistent and reliable framework for organizing and analyzing qualitative data, thus incorporating each participant's view systematically into the research findings.</w:t>
      </w:r>
    </w:p>
    <w:p w14:paraId="4D247640" w14:textId="77777777" w:rsidR="00F073C0" w:rsidRPr="008819FD" w:rsidRDefault="00817F41" w:rsidP="009F5ACD">
      <w:pPr>
        <w:pStyle w:val="Heading3"/>
        <w:rPr>
          <w:rFonts w:asciiTheme="majorBidi" w:hAnsiTheme="majorBidi" w:cstheme="majorBidi"/>
        </w:rPr>
      </w:pPr>
      <w:bookmarkStart w:id="331" w:name="_Toc221804577"/>
      <w:r>
        <w:rPr>
          <w:rFonts w:asciiTheme="majorBidi" w:eastAsia="Times New Roman" w:hAnsiTheme="majorBidi" w:cstheme="majorBidi"/>
        </w:rPr>
        <w:lastRenderedPageBreak/>
        <w:t xml:space="preserve">6.2.2 </w:t>
      </w:r>
      <w:r>
        <w:rPr>
          <w:rFonts w:asciiTheme="majorBidi" w:hAnsiTheme="majorBidi" w:cstheme="majorBidi"/>
        </w:rPr>
        <w:t>Q1:In your opinion, does the current UAE legislative framework provide a sufficient basis for regulating online commercial arbitration? What are the key legal gaps you identify in this area?</w:t>
      </w:r>
      <w:bookmarkEnd w:id="331"/>
    </w:p>
    <w:p w14:paraId="0AD94E1E" w14:textId="77777777" w:rsidR="00F073C0" w:rsidRPr="008819FD" w:rsidRDefault="00F073C0" w:rsidP="00F03B5A">
      <w:pPr>
        <w:pStyle w:val="Caption"/>
        <w:spacing w:line="480" w:lineRule="auto"/>
        <w:ind w:firstLine="720"/>
        <w:rPr>
          <w:rFonts w:asciiTheme="majorBidi" w:hAnsiTheme="majorBidi" w:cstheme="majorBidi"/>
        </w:rPr>
      </w:pPr>
      <w:r>
        <w:rPr>
          <w:rFonts w:asciiTheme="majorBidi" w:hAnsiTheme="majorBidi" w:cstheme="majorBidi"/>
        </w:rPr>
        <w:t>The first interview question examined expert perceptions regarding whether the current UAE legislative framework provides a sufficient regulatory basis for online commercial arbitration. This question directly addresses the overarching research question: Is there a need for government regulation of online arbitration in the UAE? It also informs the related sub-questions concerning confidentiality, data protection challenges, and the effectiveness of the existing regulatory framework.</w:t>
      </w:r>
    </w:p>
    <w:p w14:paraId="4D9698B5" w14:textId="77777777" w:rsidR="00F073C0" w:rsidRPr="008819FD" w:rsidRDefault="00F073C0" w:rsidP="00F03B5A">
      <w:pPr>
        <w:pStyle w:val="Caption"/>
        <w:spacing w:line="480" w:lineRule="auto"/>
        <w:ind w:firstLine="720"/>
        <w:rPr>
          <w:rFonts w:asciiTheme="majorBidi" w:hAnsiTheme="majorBidi" w:cstheme="majorBidi"/>
        </w:rPr>
      </w:pPr>
      <w:r>
        <w:rPr>
          <w:rFonts w:asciiTheme="majorBidi" w:hAnsiTheme="majorBidi" w:cstheme="majorBidi"/>
        </w:rPr>
        <w:t>With the rapid shift toward digital and hybrid arbitration processes, respondents were asked to assess whether the UAE’s primary legislative instruments—most notably Federal Arbitration Law No. 6 of 2018 and Federal Decree-Law No. 45 of 2021—are adequate to protect parties’ rights in online arbitration. The findings reveal a spectrum of views, ranging from cautious endorsement of the framework’s flexibility to strong critiques highlighting regulatory gaps. Collectively, these perspectives illuminate both the strengths and limitations of the UAE’s current approach.</w:t>
      </w:r>
    </w:p>
    <w:p w14:paraId="256D405B" w14:textId="0839B886" w:rsidR="00F073C0" w:rsidRPr="008819FD" w:rsidRDefault="00F073C0" w:rsidP="00F03B5A">
      <w:pPr>
        <w:pStyle w:val="Caption"/>
        <w:spacing w:line="480" w:lineRule="auto"/>
        <w:ind w:firstLine="720"/>
        <w:rPr>
          <w:rFonts w:asciiTheme="majorBidi" w:hAnsiTheme="majorBidi" w:cstheme="majorBidi"/>
        </w:rPr>
      </w:pPr>
      <w:r>
        <w:rPr>
          <w:rFonts w:asciiTheme="majorBidi" w:hAnsiTheme="majorBidi" w:cstheme="majorBidi"/>
        </w:rPr>
        <w:lastRenderedPageBreak/>
        <w:t>Several respondents emphasised the absence of arbitration-specific provisions for online proceedings, identifying this as a core regulatory weakness. One academic participant observed that “the 2018 Arbitration Law provides a general framework for arbitration, but it does not directly address online hearings or the digital protection of arbitration records” (Interview INT-05). This insight highlights a central challenge linked to Sub-Question 1, namely the lack of explicit legal guidance on confidentiality and data protection in online arbitration. While the law recognizes electronic communications, it delegates substantial discretion to arbitral institutions, resulting in uneven levels of protection depending on institutional capacity. This raises concerns of legal fragmentation and undermines regulatory certainty.</w:t>
      </w:r>
      <w:r w:rsidR="000851F5">
        <w:rPr>
          <w:rFonts w:asciiTheme="majorBidi" w:hAnsiTheme="majorBidi" w:cstheme="majorBidi"/>
        </w:rPr>
        <w:t xml:space="preserve"> It should be acknowledged, however, that institutional discretion is not wholly undesirable. By leaving room for innovation, it allows the more capable centres to develop sophisticated practices and to compete with one another on the quality of the safeguards they provide, which can drive standards upwards. The concern, properly framed, is therefore not the existence of discretion as such, but the absence of a statutory minimum floor. A mandatory baseline of confidentiality and data-protection requirements, applicable to all arbitration seated in the UAE, would mitigate the risk of fragmentation while leaving institutions free to compete above that floor.</w:t>
      </w:r>
    </w:p>
    <w:p w14:paraId="6B4AAC69" w14:textId="77777777" w:rsidR="00F073C0" w:rsidRPr="008819FD" w:rsidRDefault="00F073C0" w:rsidP="00F03B5A">
      <w:pPr>
        <w:pStyle w:val="Caption"/>
        <w:spacing w:line="480" w:lineRule="auto"/>
        <w:ind w:firstLine="720"/>
        <w:rPr>
          <w:rFonts w:asciiTheme="majorBidi" w:hAnsiTheme="majorBidi" w:cstheme="majorBidi"/>
        </w:rPr>
      </w:pPr>
      <w:r>
        <w:rPr>
          <w:rFonts w:asciiTheme="majorBidi" w:hAnsiTheme="majorBidi" w:cstheme="majorBidi"/>
        </w:rPr>
        <w:lastRenderedPageBreak/>
        <w:t>Another respondent focused on the uncertain application of data protection law to arbitration, stating that “although the Personal Data Protection Law of 2021 is a step forward, its application to arbitration proceedings is unclear, especially in reconciling confidentiality with mandatory disclosure obligations in the event of a data breach” (Interview INT-12). This response illustrates a critical tension between general data protection obligations and the traditional confidentiality of arbitration. From an analytical standpoint, this finding reinforces Sub-Question 1, demonstrating that ambiguity in legal interpretation creates compliance uncertainty for parties and institutions alike.</w:t>
      </w:r>
    </w:p>
    <w:p w14:paraId="2AC531AE" w14:textId="1B70EA7F" w:rsidR="00F073C0" w:rsidRPr="008819FD" w:rsidRDefault="00F073C0" w:rsidP="000851F5">
      <w:pPr>
        <w:pStyle w:val="Caption"/>
        <w:spacing w:line="480" w:lineRule="auto"/>
        <w:ind w:firstLine="720"/>
        <w:rPr>
          <w:rFonts w:asciiTheme="majorBidi" w:hAnsiTheme="majorBidi" w:cstheme="majorBidi"/>
        </w:rPr>
      </w:pPr>
      <w:r>
        <w:rPr>
          <w:rFonts w:asciiTheme="majorBidi" w:hAnsiTheme="majorBidi" w:cstheme="majorBidi"/>
        </w:rPr>
        <w:t xml:space="preserve">In contrast, a more pragmatic position was articulated by an experienced arbitrator, who argued that “the UAE legislative structure is sufficient in principle, but the challenge lies in enforcement and in harmonizing institutional practices with statutory provisions” (Interview INT-03). This perspective shifts the analytical focus from legislative inadequacy to implementation and regulatory alignment, thereby contributing to Sub-Question 2. The respondent suggested that improved coordination between legislation and arbitral institutions—such as Dubai International Arbitration Centre  (DIAC) and </w:t>
      </w:r>
      <w:r w:rsidR="000851F5" w:rsidRPr="000851F5">
        <w:rPr>
          <w:rFonts w:asciiTheme="majorBidi" w:hAnsiTheme="majorBidi" w:cstheme="majorBidi"/>
        </w:rPr>
        <w:t xml:space="preserve"> </w:t>
      </w:r>
      <w:r w:rsidR="000851F5">
        <w:rPr>
          <w:rFonts w:asciiTheme="majorBidi" w:hAnsiTheme="majorBidi" w:cstheme="majorBidi"/>
        </w:rPr>
        <w:t>ADGM Dispute Resolution Hearing Centre</w:t>
      </w:r>
      <w:r>
        <w:rPr>
          <w:rFonts w:asciiTheme="majorBidi" w:hAnsiTheme="majorBidi" w:cstheme="majorBidi"/>
        </w:rPr>
        <w:t>could significantly enhance the effectiveness of confidentiality and data protection safeguards without requiring comprehensive legislative reform.</w:t>
      </w:r>
    </w:p>
    <w:p w14:paraId="6A0FABA9" w14:textId="77777777" w:rsidR="00F073C0" w:rsidRPr="008819FD" w:rsidRDefault="00F073C0" w:rsidP="00F03B5A">
      <w:pPr>
        <w:pStyle w:val="Caption"/>
        <w:spacing w:line="480" w:lineRule="auto"/>
        <w:ind w:firstLine="720"/>
        <w:rPr>
          <w:rFonts w:asciiTheme="majorBidi" w:hAnsiTheme="majorBidi" w:cstheme="majorBidi"/>
        </w:rPr>
      </w:pPr>
      <w:r>
        <w:rPr>
          <w:rFonts w:asciiTheme="majorBidi" w:hAnsiTheme="majorBidi" w:cstheme="majorBidi"/>
        </w:rPr>
        <w:lastRenderedPageBreak/>
        <w:t>More critical views emerged regarding cybersecurity governance. One legal practitioner stated that “the biggest shortcoming is that arbitral institutions are not bound by mandatory cybersecurity requirements” (Interview INT-09). This observation directly informs the main research question by suggesting a need for stronger government-led regulation, particularly through binding cybersecurity standards rather than voluntary guidelines. The finding also supports Sub-Question 2, as it indicates that the effectiveness of the current framework could be enhanced through enforceable minimum cybersecurity requirements applicable to all arbitration institutions.</w:t>
      </w:r>
    </w:p>
    <w:p w14:paraId="76396F39" w14:textId="77777777" w:rsidR="005C4C4E" w:rsidRPr="008819FD" w:rsidRDefault="00F073C0" w:rsidP="00F03B5A">
      <w:pPr>
        <w:pStyle w:val="Caption"/>
        <w:spacing w:line="480" w:lineRule="auto"/>
        <w:ind w:firstLine="720"/>
        <w:rPr>
          <w:rFonts w:asciiTheme="majorBidi" w:hAnsiTheme="majorBidi" w:cstheme="majorBidi"/>
        </w:rPr>
      </w:pPr>
      <w:r>
        <w:rPr>
          <w:rFonts w:asciiTheme="majorBidi" w:hAnsiTheme="majorBidi" w:cstheme="majorBidi"/>
        </w:rPr>
        <w:t>A comparative dimension was introduced by an academic expert who highlighted the lack of clarity on cross-border data transfers, noting that “unlike the GDPR in Europe, the UAE framework does not offer clear provisions on how sensitive arbitral data should be transferred or stored across borders” (Interview INT-14). This issue is especially relevant in international arbitration and further reinforces the conclusion that national legislation alone may be insufficient in a transnational digital environment. The finding strengthens the argument that regulatory refinement is necessary to address conflicts of law and data governance risks.</w:t>
      </w:r>
      <w:r>
        <w:rPr>
          <w:rFonts w:asciiTheme="majorBidi" w:eastAsia="Times New Roman" w:hAnsiTheme="majorBidi" w:cstheme="majorBidi"/>
        </w:rPr>
        <w:t xml:space="preserve"> </w:t>
      </w:r>
      <w:r>
        <w:rPr>
          <w:rFonts w:asciiTheme="majorBidi" w:hAnsiTheme="majorBidi" w:cstheme="majorBidi"/>
        </w:rPr>
        <w:t>As illustrated in Table 4, the years of professional experience in arbitration practice are summarised.</w:t>
      </w:r>
    </w:p>
    <w:p w14:paraId="146CCF14" w14:textId="77777777" w:rsidR="00F073C0" w:rsidRPr="008819FD" w:rsidRDefault="00F073C0" w:rsidP="00CA2D0F">
      <w:pPr>
        <w:pStyle w:val="Caption"/>
        <w:spacing w:line="480" w:lineRule="auto"/>
        <w:rPr>
          <w:rFonts w:asciiTheme="majorBidi" w:hAnsiTheme="majorBidi" w:cstheme="majorBidi"/>
        </w:rPr>
      </w:pPr>
    </w:p>
    <w:p w14:paraId="2D50DF00" w14:textId="16E01AD0" w:rsidR="00F073C0" w:rsidRPr="008819FD" w:rsidRDefault="00F073C0" w:rsidP="00CA2D0F">
      <w:pPr>
        <w:pStyle w:val="Caption"/>
        <w:rPr>
          <w:rFonts w:asciiTheme="majorBidi" w:eastAsia="Calibri" w:hAnsiTheme="majorBidi" w:cstheme="majorBidi"/>
          <w:i/>
          <w:iCs/>
          <w:color w:val="000000"/>
          <w:lang w:bidi="ar-AE"/>
        </w:rPr>
      </w:pPr>
      <w:bookmarkStart w:id="332" w:name="_Toc219753437"/>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4</w:t>
      </w:r>
      <w:r>
        <w:rPr>
          <w:rFonts w:asciiTheme="majorBidi" w:hAnsiTheme="majorBidi" w:cstheme="majorBidi"/>
          <w:b/>
        </w:rPr>
        <w:fldChar w:fldCharType="end"/>
      </w:r>
      <w:r>
        <w:rPr>
          <w:rFonts w:asciiTheme="majorBidi" w:hAnsiTheme="majorBidi" w:cstheme="majorBidi"/>
        </w:rPr>
        <w:br/>
      </w:r>
      <w:bookmarkEnd w:id="332"/>
      <w:r>
        <w:rPr>
          <w:rFonts w:asciiTheme="majorBidi" w:eastAsia="Calibri" w:hAnsiTheme="majorBidi" w:cstheme="majorBidi"/>
          <w:i/>
          <w:iCs/>
          <w:color w:val="000000"/>
          <w:lang w:bidi="ar-AE"/>
        </w:rPr>
        <w:t>Years of Professional Experience in Arbitration Practice</w:t>
      </w:r>
    </w:p>
    <w:tbl>
      <w:tblPr>
        <w:tblW w:w="5000" w:type="pct"/>
        <w:tblBorders>
          <w:top w:val="single" w:sz="4" w:space="0" w:color="auto"/>
          <w:bottom w:val="single" w:sz="4" w:space="0" w:color="auto"/>
        </w:tblBorders>
        <w:tblLook w:val="04A0" w:firstRow="1" w:lastRow="0" w:firstColumn="1" w:lastColumn="0" w:noHBand="0" w:noVBand="1"/>
      </w:tblPr>
      <w:tblGrid>
        <w:gridCol w:w="1242"/>
        <w:gridCol w:w="3665"/>
        <w:gridCol w:w="2010"/>
        <w:gridCol w:w="2204"/>
      </w:tblGrid>
      <w:tr w:rsidR="00F073C0" w:rsidRPr="008819FD" w14:paraId="2B2E6811" w14:textId="77777777" w:rsidTr="008B409F">
        <w:tc>
          <w:tcPr>
            <w:tcW w:w="681" w:type="pct"/>
            <w:hideMark/>
          </w:tcPr>
          <w:p w14:paraId="1287C756"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lang w:bidi="ar-AE"/>
              </w:rPr>
            </w:pPr>
            <w:r>
              <w:rPr>
                <w:rFonts w:asciiTheme="majorBidi" w:eastAsia="Calibri" w:hAnsiTheme="majorBidi" w:cstheme="majorBidi"/>
                <w:b/>
                <w:color w:val="000000"/>
                <w:lang w:bidi="ar-AE"/>
              </w:rPr>
              <w:t>Interview Code</w:t>
            </w:r>
          </w:p>
        </w:tc>
        <w:tc>
          <w:tcPr>
            <w:tcW w:w="2009" w:type="pct"/>
            <w:hideMark/>
          </w:tcPr>
          <w:p w14:paraId="7DF6FAE4"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lang w:bidi="ar-AE"/>
              </w:rPr>
            </w:pPr>
            <w:r>
              <w:rPr>
                <w:rFonts w:asciiTheme="majorBidi" w:eastAsia="Calibri" w:hAnsiTheme="majorBidi" w:cstheme="majorBidi"/>
                <w:b/>
                <w:color w:val="000000"/>
                <w:lang w:bidi="ar-AE"/>
              </w:rPr>
              <w:t>Evidence (Participant Quote)</w:t>
            </w:r>
          </w:p>
        </w:tc>
        <w:tc>
          <w:tcPr>
            <w:tcW w:w="1102" w:type="pct"/>
            <w:hideMark/>
          </w:tcPr>
          <w:p w14:paraId="0703F611"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lang w:bidi="ar-AE"/>
              </w:rPr>
            </w:pPr>
            <w:r>
              <w:rPr>
                <w:rFonts w:asciiTheme="majorBidi" w:eastAsia="Calibri" w:hAnsiTheme="majorBidi" w:cstheme="majorBidi"/>
                <w:b/>
                <w:color w:val="000000"/>
                <w:lang w:bidi="ar-AE"/>
              </w:rPr>
              <w:t>Concept Derived</w:t>
            </w:r>
          </w:p>
        </w:tc>
        <w:tc>
          <w:tcPr>
            <w:tcW w:w="1208" w:type="pct"/>
            <w:hideMark/>
          </w:tcPr>
          <w:p w14:paraId="3E0399C1"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lang w:bidi="ar-AE"/>
              </w:rPr>
            </w:pPr>
            <w:r>
              <w:rPr>
                <w:rFonts w:asciiTheme="majorBidi" w:eastAsia="Calibri" w:hAnsiTheme="majorBidi" w:cstheme="majorBidi"/>
                <w:b/>
                <w:color w:val="000000"/>
                <w:lang w:bidi="ar-AE"/>
              </w:rPr>
              <w:t>Analytical Theme</w:t>
            </w:r>
          </w:p>
        </w:tc>
      </w:tr>
      <w:tr w:rsidR="00F073C0" w:rsidRPr="008819FD" w14:paraId="25D3F565" w14:textId="77777777" w:rsidTr="008B409F">
        <w:tc>
          <w:tcPr>
            <w:tcW w:w="681" w:type="pct"/>
            <w:hideMark/>
          </w:tcPr>
          <w:p w14:paraId="2E5B1DAF"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INT-05</w:t>
            </w:r>
          </w:p>
        </w:tc>
        <w:tc>
          <w:tcPr>
            <w:tcW w:w="2009" w:type="pct"/>
            <w:hideMark/>
          </w:tcPr>
          <w:p w14:paraId="788E7D51"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“The 2018 Arbitration Law provides a general framework for arbitration, but it does not directly address online hearings or the digital protection of arbitration records.”</w:t>
            </w:r>
          </w:p>
        </w:tc>
        <w:tc>
          <w:tcPr>
            <w:tcW w:w="1102" w:type="pct"/>
            <w:hideMark/>
          </w:tcPr>
          <w:p w14:paraId="0D6A75DA"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Lack of explicit legal provisions on online arbitration</w:t>
            </w:r>
          </w:p>
        </w:tc>
        <w:tc>
          <w:tcPr>
            <w:tcW w:w="1208" w:type="pct"/>
            <w:hideMark/>
          </w:tcPr>
          <w:p w14:paraId="4837F58D"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The legal framework is broad but lacks specificity</w:t>
            </w:r>
          </w:p>
        </w:tc>
      </w:tr>
      <w:tr w:rsidR="00F073C0" w:rsidRPr="008819FD" w14:paraId="470ACD25" w14:textId="77777777" w:rsidTr="008B409F">
        <w:tc>
          <w:tcPr>
            <w:tcW w:w="681" w:type="pct"/>
            <w:hideMark/>
          </w:tcPr>
          <w:p w14:paraId="4F79EEFE"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INT-12</w:t>
            </w:r>
          </w:p>
        </w:tc>
        <w:tc>
          <w:tcPr>
            <w:tcW w:w="2009" w:type="pct"/>
            <w:hideMark/>
          </w:tcPr>
          <w:p w14:paraId="13D2752C"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“Although the Personal Data Protection Law of 2021 is a step forward, its application to arbitration proceedings is unclear, especially in reconciling confidentiality with mandatory disclosure obligations.”</w:t>
            </w:r>
          </w:p>
        </w:tc>
        <w:tc>
          <w:tcPr>
            <w:tcW w:w="1102" w:type="pct"/>
            <w:hideMark/>
          </w:tcPr>
          <w:p w14:paraId="0BE5C5DF"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Ambiguity in applying PDPL to arbitration</w:t>
            </w:r>
          </w:p>
        </w:tc>
        <w:tc>
          <w:tcPr>
            <w:tcW w:w="1208" w:type="pct"/>
            <w:hideMark/>
          </w:tcPr>
          <w:p w14:paraId="08E4A7EC"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Tension between confidentiality and statutory data obligations</w:t>
            </w:r>
          </w:p>
        </w:tc>
      </w:tr>
      <w:tr w:rsidR="00F073C0" w:rsidRPr="008819FD" w14:paraId="117EEBDB" w14:textId="77777777" w:rsidTr="008B409F">
        <w:tc>
          <w:tcPr>
            <w:tcW w:w="681" w:type="pct"/>
            <w:hideMark/>
          </w:tcPr>
          <w:p w14:paraId="046CD811"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INT-03</w:t>
            </w:r>
          </w:p>
        </w:tc>
        <w:tc>
          <w:tcPr>
            <w:tcW w:w="2009" w:type="pct"/>
            <w:hideMark/>
          </w:tcPr>
          <w:p w14:paraId="5EA9AC90"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“The UAE legislative structure is sufficient in principle, but the challenge lies in enforcement and in harmonizing institutional practices with statutory provisions.”</w:t>
            </w:r>
          </w:p>
        </w:tc>
        <w:tc>
          <w:tcPr>
            <w:tcW w:w="1102" w:type="pct"/>
            <w:hideMark/>
          </w:tcPr>
          <w:p w14:paraId="2E4DE67B"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Adequacy depends on enforcement and institutional alignment</w:t>
            </w:r>
          </w:p>
        </w:tc>
        <w:tc>
          <w:tcPr>
            <w:tcW w:w="1208" w:type="pct"/>
            <w:hideMark/>
          </w:tcPr>
          <w:p w14:paraId="7D8FD22C"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Implementation gap between law and practice</w:t>
            </w:r>
          </w:p>
        </w:tc>
      </w:tr>
      <w:tr w:rsidR="00F073C0" w:rsidRPr="008819FD" w14:paraId="26166961" w14:textId="77777777" w:rsidTr="008B409F">
        <w:tc>
          <w:tcPr>
            <w:tcW w:w="681" w:type="pct"/>
            <w:hideMark/>
          </w:tcPr>
          <w:p w14:paraId="4D2AEC6D"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INT-09</w:t>
            </w:r>
          </w:p>
        </w:tc>
        <w:tc>
          <w:tcPr>
            <w:tcW w:w="2009" w:type="pct"/>
            <w:hideMark/>
          </w:tcPr>
          <w:p w14:paraId="02BCF076"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 xml:space="preserve">“The biggest shortcoming is that arbitral institutions are not bound by mandatory cybersecurity </w:t>
            </w:r>
            <w:r>
              <w:rPr>
                <w:rFonts w:asciiTheme="majorBidi" w:eastAsia="Calibri" w:hAnsiTheme="majorBidi" w:cstheme="majorBidi"/>
                <w:i/>
                <w:iCs/>
                <w:color w:val="000000"/>
                <w:lang w:bidi="ar-AE"/>
              </w:rPr>
              <w:lastRenderedPageBreak/>
              <w:t>requirements. They rely on soft law guidelines, which remain voluntary and inconsistent.”</w:t>
            </w:r>
          </w:p>
        </w:tc>
        <w:tc>
          <w:tcPr>
            <w:tcW w:w="1102" w:type="pct"/>
            <w:hideMark/>
          </w:tcPr>
          <w:p w14:paraId="256190B2"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 xml:space="preserve">Absence of binding </w:t>
            </w:r>
            <w:r>
              <w:rPr>
                <w:rFonts w:asciiTheme="majorBidi" w:eastAsia="Calibri" w:hAnsiTheme="majorBidi" w:cstheme="majorBidi"/>
                <w:color w:val="000000"/>
                <w:lang w:bidi="ar-AE"/>
              </w:rPr>
              <w:lastRenderedPageBreak/>
              <w:t>cybersecurity standards</w:t>
            </w:r>
          </w:p>
        </w:tc>
        <w:tc>
          <w:tcPr>
            <w:tcW w:w="1208" w:type="pct"/>
            <w:hideMark/>
          </w:tcPr>
          <w:p w14:paraId="2AF8CE7D"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 xml:space="preserve">Weaknesses of voluntary </w:t>
            </w:r>
            <w:r>
              <w:rPr>
                <w:rFonts w:asciiTheme="majorBidi" w:eastAsia="Calibri" w:hAnsiTheme="majorBidi" w:cstheme="majorBidi"/>
                <w:color w:val="000000"/>
                <w:lang w:bidi="ar-AE"/>
              </w:rPr>
              <w:lastRenderedPageBreak/>
              <w:t>frameworks and reliance on soft law</w:t>
            </w:r>
          </w:p>
        </w:tc>
      </w:tr>
      <w:tr w:rsidR="00F073C0" w:rsidRPr="008819FD" w14:paraId="2A63B698" w14:textId="77777777" w:rsidTr="008B409F">
        <w:tc>
          <w:tcPr>
            <w:tcW w:w="681" w:type="pct"/>
            <w:hideMark/>
          </w:tcPr>
          <w:p w14:paraId="44D56B28"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INT-14</w:t>
            </w:r>
          </w:p>
        </w:tc>
        <w:tc>
          <w:tcPr>
            <w:tcW w:w="2009" w:type="pct"/>
            <w:hideMark/>
          </w:tcPr>
          <w:p w14:paraId="4A7CAADB"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“Unlike the GDPR in Europe, the UAE framework does not offer clear provisions on how sensitive arbitral data should be transferred or stored across borders.”</w:t>
            </w:r>
          </w:p>
        </w:tc>
        <w:tc>
          <w:tcPr>
            <w:tcW w:w="1102" w:type="pct"/>
            <w:hideMark/>
          </w:tcPr>
          <w:p w14:paraId="2BB37EC8"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Gap in cross-border data protection</w:t>
            </w:r>
          </w:p>
        </w:tc>
        <w:tc>
          <w:tcPr>
            <w:tcW w:w="1208" w:type="pct"/>
            <w:hideMark/>
          </w:tcPr>
          <w:p w14:paraId="201395BA"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Risks in international cases due to conflicts of law</w:t>
            </w:r>
          </w:p>
        </w:tc>
      </w:tr>
    </w:tbl>
    <w:p w14:paraId="4E60BDA2" w14:textId="2A2BE37A" w:rsidR="00F073C0" w:rsidRPr="008819FD" w:rsidRDefault="00817F41" w:rsidP="009F5ACD">
      <w:pPr>
        <w:pStyle w:val="Heading3"/>
        <w:rPr>
          <w:rFonts w:asciiTheme="majorBidi" w:hAnsiTheme="majorBidi" w:cstheme="majorBidi"/>
        </w:rPr>
      </w:pPr>
      <w:bookmarkStart w:id="333" w:name="_Toc221804578"/>
      <w:r>
        <w:rPr>
          <w:rFonts w:asciiTheme="majorBidi" w:eastAsia="Times New Roman" w:hAnsiTheme="majorBidi" w:cstheme="majorBidi"/>
        </w:rPr>
        <w:t xml:space="preserve">6.2.3 </w:t>
      </w:r>
      <w:r>
        <w:rPr>
          <w:rFonts w:asciiTheme="majorBidi" w:hAnsiTheme="majorBidi" w:cstheme="majorBidi"/>
        </w:rPr>
        <w:t>Q2:How do you assess the compatibility of UAE arbitration laws with international principles such as the UNCITRAL Model Law on electronic commercial arbitration?</w:t>
      </w:r>
      <w:bookmarkEnd w:id="333"/>
    </w:p>
    <w:p w14:paraId="7057D693"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The second interview question explored expert assessments of the extent to which UAE arbitration law is compatible with international arbitration standards, particularly the UNCITRAL Model Law, which is widely regarded as the global benchmark for harmonizing arbitration regimes, including those involving electronic and technology-enabled procedures. This question directly informs the main research question—whether government regulation is required to strengthen online arbitration in the UAE—by evaluating whether international compatibility alone is sufficient to address emerging digital risks.</w:t>
      </w:r>
    </w:p>
    <w:p w14:paraId="74CFC6BA"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 xml:space="preserve">Participants were asked to reflect on the alignment between Federal Arbitration Law No. 6 of 2018 and UNCITRAL principles, including party autonomy, recognition of electronic communications, procedural fairness, and enforceability of awards. Given the UAE’s strategic ambition to position itself as a regional and global arbitration hub, compatibility with </w:t>
      </w:r>
      <w:r>
        <w:rPr>
          <w:rFonts w:asciiTheme="majorBidi" w:hAnsiTheme="majorBidi" w:cstheme="majorBidi"/>
        </w:rPr>
        <w:lastRenderedPageBreak/>
        <w:t>international norms is not merely symbolic but central to legal certainty, enforceability, and user confidence in online arbitration.</w:t>
      </w:r>
    </w:p>
    <w:p w14:paraId="6207BB30"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Several respondents highlighted a high degree of structural and conceptual alignment between UAE law and the UNCITRAL Model Law. One experienced arbitrator noted that “the 2018 Arbitration Law mirrors many provisions of the UNCITRAL Model Law, particularly regarding party autonomy, recognition of electronic communication, and the enforcement of awards” (Interview INT-07). This perspective suggests that the UAE has successfully modernized its arbitration framework to meet international expectations, particularly by validating electronic communications and procedural flexibility. Analytically, this finding supports the view that the UAE has established a sound foundational compatibility with international arbitration standards, strengthening the enforceability of UAE-seated awards under the New York Convention.</w:t>
      </w:r>
    </w:p>
    <w:p w14:paraId="5DA516BF"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However, this compatibility was frequently described as formal rather than functional. An academic participant cautioned that “the UAE Arbitration Law is compatible with UNCITRAL in structure, but it is silent on electronic hearings and cybersecurity, which are now critical elements of international best practice” (Interview INT-02). This observation directly addresses Sub-Question 1, as it highlights confidentiality and data protection challenges arising from the absence of digital-specific provisions. While the law reflects the architecture of the Model Law, it does not adequately regulate contemporary risks such as virtual hearings, secure data transmission, and system integrity. The analysis here suggests that compatibility in principle does not equate to regulatory sufficiency in practice.</w:t>
      </w:r>
    </w:p>
    <w:p w14:paraId="21669653"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 xml:space="preserve">Concerns regarding judicial enforcement and consistency were also raised. A practitioner specializing in cross-border disputes argued that “international compatibility </w:t>
      </w:r>
      <w:r>
        <w:rPr>
          <w:rFonts w:asciiTheme="majorBidi" w:hAnsiTheme="majorBidi" w:cstheme="majorBidi"/>
        </w:rPr>
        <w:lastRenderedPageBreak/>
        <w:t>should not be assessed only in terms of legal drafting; enforcement in UAE courts sometimes lacks the consistency expected under UNCITRAL principles” (Interview INT-11). This insight highlights an implementation gap between legislative alignment and judicial practice. From an analytical standpoint, this finding informs Sub-Question 2, indicating that enhancing the effectiveness of the regulatory framework requires not only legislative refinement but also consistent judicial interpretation aligned with international expectations of neutrality and procedural predictability.</w:t>
      </w:r>
    </w:p>
    <w:p w14:paraId="77A1A812"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Another respondent focused on the treatment of electronic evidence, noting that “UNCITRAL provides clarity on electronic communications, but the UAE law does not provide detailed procedures for authenticating electronic evidence in international cases” (Interview INT-04). This concern underscores a practical regulatory gap affecting cross-border arbitration, where disputes increasingly rely on digital documents, cloud-based records, and electronic signatures. Although electronic communication is recognized, the absence of standardised authentication and integrity rules may undermine confidence in online proceedings and expose parties to evidentiary challenges.</w:t>
      </w:r>
    </w:p>
    <w:p w14:paraId="0FB9A40B"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A broader comparative perspective was offered by an academic who observed that “compared to the UNCITRAL Model Law, the UAE legislation is progressive, but it has yet to adopt explicit provisions on electronic commerce in arbitration, such as those recommended by UNCITRAL on digital transactions” (Interview INT-13). This assessment recognizes the UAE’s progress while also situating it within an evolving international landscape where arbitration laws are increasingly expected to address electronic commerce, digital platforms, and cybersecurity explicitly.</w:t>
      </w:r>
    </w:p>
    <w:p w14:paraId="5FD6E3E1"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Linkage to Research Questions</w:t>
      </w:r>
    </w:p>
    <w:p w14:paraId="51F11D2F"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lastRenderedPageBreak/>
        <w:t>Taken together, the findings demonstrate that UAE arbitration law is broadly compatible with UNCITRAL principles at a structural level, particularly in recognizing electronic communications and supporting enforceability. This suggests that the UAE has met the baseline requirements of international harmonization. However, the interviews also reveal that compatibility alone is insufficient to address the complexities of online arbitration. Persistent gaps relating to cybersecurity, electronic hearings, authentication of digital evidence, and enforcement consistency point to the need for supplementary regulation and institutional reform.</w:t>
      </w:r>
    </w:p>
    <w:p w14:paraId="29F963E0" w14:textId="77777777" w:rsidR="005C4C4E" w:rsidRPr="008819FD" w:rsidRDefault="00F073C0" w:rsidP="00F03B5A">
      <w:pPr>
        <w:spacing w:line="480" w:lineRule="auto"/>
        <w:ind w:firstLine="720"/>
        <w:rPr>
          <w:rFonts w:asciiTheme="majorBidi" w:hAnsiTheme="majorBidi" w:cstheme="majorBidi"/>
        </w:rPr>
      </w:pPr>
      <w:r>
        <w:rPr>
          <w:rFonts w:asciiTheme="majorBidi" w:hAnsiTheme="majorBidi" w:cstheme="majorBidi"/>
        </w:rPr>
        <w:t>In response to the main research question, the findings suggest that while international compatibility reduces the need for radical legislative overhaul, it does not eliminate the necessity for targeted government intervention. Addressing Sub-Questions 1 and 2, the evidence indicates that enhancing confidentiality and data protection in online arbitration requires moving beyond general alignment with UNCITRAL principles toward context-specific, binding rules that reflect the realities of digital dispute resolution. Accordingly, the UAE’s continued leadership in international arbitration will depend not only on adopting international models but on actively adapting them to the technological and regulatory demands of online arbitration.</w:t>
      </w:r>
      <w:r>
        <w:rPr>
          <w:rFonts w:asciiTheme="majorBidi" w:eastAsia="Times New Roman" w:hAnsiTheme="majorBidi" w:cstheme="majorBidi"/>
        </w:rPr>
        <w:t xml:space="preserve"> </w:t>
      </w:r>
      <w:r>
        <w:rPr>
          <w:rFonts w:asciiTheme="majorBidi" w:hAnsiTheme="majorBidi" w:cstheme="majorBidi"/>
        </w:rPr>
        <w:t>Table 5 presents the level of engagement in online arbitration proceedings among respondents.</w:t>
      </w:r>
    </w:p>
    <w:p w14:paraId="5F794D02" w14:textId="77777777" w:rsidR="00F073C0" w:rsidRPr="008819FD" w:rsidRDefault="00F073C0" w:rsidP="00221B1E">
      <w:pPr>
        <w:spacing w:line="480" w:lineRule="auto"/>
        <w:ind w:firstLine="360"/>
        <w:rPr>
          <w:rFonts w:asciiTheme="majorBidi" w:hAnsiTheme="majorBidi" w:cstheme="majorBidi"/>
        </w:rPr>
      </w:pPr>
    </w:p>
    <w:p w14:paraId="4B8C2E40" w14:textId="77777777" w:rsidR="009A235B" w:rsidRPr="008819FD" w:rsidRDefault="009A235B" w:rsidP="0099552A">
      <w:pPr>
        <w:spacing w:line="480" w:lineRule="auto"/>
        <w:rPr>
          <w:rFonts w:asciiTheme="majorBidi" w:hAnsiTheme="majorBidi" w:cstheme="majorBidi"/>
        </w:rPr>
      </w:pPr>
    </w:p>
    <w:p w14:paraId="5BD73600" w14:textId="4D93FD25" w:rsidR="00F073C0" w:rsidRPr="008819FD" w:rsidRDefault="00F073C0" w:rsidP="00CA2D0F">
      <w:pPr>
        <w:pStyle w:val="Caption"/>
        <w:rPr>
          <w:rFonts w:asciiTheme="majorBidi" w:eastAsia="Calibri" w:hAnsiTheme="majorBidi" w:cstheme="majorBidi"/>
          <w:color w:val="000000"/>
        </w:rPr>
      </w:pPr>
      <w:bookmarkStart w:id="334" w:name="_Toc219753438"/>
      <w:r>
        <w:rPr>
          <w:rFonts w:asciiTheme="majorBidi" w:hAnsiTheme="majorBidi" w:cstheme="majorBidi"/>
          <w:b/>
        </w:rPr>
        <w:lastRenderedPageBreak/>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5</w:t>
      </w:r>
      <w:r>
        <w:rPr>
          <w:rFonts w:asciiTheme="majorBidi" w:hAnsiTheme="majorBidi" w:cstheme="majorBidi"/>
          <w:b/>
        </w:rPr>
        <w:fldChar w:fldCharType="end"/>
      </w:r>
      <w:r>
        <w:rPr>
          <w:rFonts w:asciiTheme="majorBidi" w:hAnsiTheme="majorBidi" w:cstheme="majorBidi"/>
        </w:rPr>
        <w:br/>
      </w:r>
      <w:bookmarkEnd w:id="334"/>
      <w:r>
        <w:rPr>
          <w:rFonts w:asciiTheme="majorBidi" w:hAnsiTheme="majorBidi" w:cstheme="majorBidi"/>
          <w:i/>
          <w:iCs/>
        </w:rPr>
        <w:t>Level of Engagement in Online Arbitration Proceedings</w:t>
      </w:r>
    </w:p>
    <w:tbl>
      <w:tblPr>
        <w:tblW w:w="5000" w:type="pct"/>
        <w:tblBorders>
          <w:top w:val="single" w:sz="4" w:space="0" w:color="auto"/>
          <w:bottom w:val="single" w:sz="4" w:space="0" w:color="auto"/>
        </w:tblBorders>
        <w:tblLook w:val="04A0" w:firstRow="1" w:lastRow="0" w:firstColumn="1" w:lastColumn="0" w:noHBand="0" w:noVBand="1"/>
      </w:tblPr>
      <w:tblGrid>
        <w:gridCol w:w="1233"/>
        <w:gridCol w:w="3814"/>
        <w:gridCol w:w="2007"/>
        <w:gridCol w:w="2067"/>
      </w:tblGrid>
      <w:tr w:rsidR="00F073C0" w:rsidRPr="008819FD" w14:paraId="14600BAF" w14:textId="77777777" w:rsidTr="008B409F">
        <w:tc>
          <w:tcPr>
            <w:tcW w:w="676" w:type="pct"/>
            <w:hideMark/>
          </w:tcPr>
          <w:p w14:paraId="6A3F754A"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Interview Code</w:t>
            </w:r>
          </w:p>
        </w:tc>
        <w:tc>
          <w:tcPr>
            <w:tcW w:w="2091" w:type="pct"/>
            <w:hideMark/>
          </w:tcPr>
          <w:p w14:paraId="1F83892D"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Evidence (Participant Quote)</w:t>
            </w:r>
          </w:p>
        </w:tc>
        <w:tc>
          <w:tcPr>
            <w:tcW w:w="1100" w:type="pct"/>
            <w:hideMark/>
          </w:tcPr>
          <w:p w14:paraId="14324F67"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Concept Derived</w:t>
            </w:r>
          </w:p>
        </w:tc>
        <w:tc>
          <w:tcPr>
            <w:tcW w:w="1133" w:type="pct"/>
            <w:hideMark/>
          </w:tcPr>
          <w:p w14:paraId="691CE3E7"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Analytical Theme</w:t>
            </w:r>
          </w:p>
        </w:tc>
      </w:tr>
      <w:tr w:rsidR="00F073C0" w:rsidRPr="008819FD" w14:paraId="618F587E" w14:textId="77777777" w:rsidTr="008B409F">
        <w:tc>
          <w:tcPr>
            <w:tcW w:w="676" w:type="pct"/>
            <w:hideMark/>
          </w:tcPr>
          <w:p w14:paraId="43ACE83B"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INT-07</w:t>
            </w:r>
          </w:p>
        </w:tc>
        <w:tc>
          <w:tcPr>
            <w:tcW w:w="2091" w:type="pct"/>
            <w:hideMark/>
          </w:tcPr>
          <w:p w14:paraId="5B55E6FD"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“The 2018 Arbitration Law mirrors many provisions of the UNCITRAL Model Law, particularly regarding party autonomy, recognition of electronic communication, and the enforcement of awards.”</w:t>
            </w:r>
          </w:p>
        </w:tc>
        <w:tc>
          <w:tcPr>
            <w:tcW w:w="1100" w:type="pct"/>
            <w:hideMark/>
          </w:tcPr>
          <w:p w14:paraId="098B63A9"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General alignment with UNCITRAL principles</w:t>
            </w:r>
          </w:p>
        </w:tc>
        <w:tc>
          <w:tcPr>
            <w:tcW w:w="1133" w:type="pct"/>
            <w:hideMark/>
          </w:tcPr>
          <w:p w14:paraId="437B0583"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Structural compatibility of UAE law with international standards</w:t>
            </w:r>
          </w:p>
        </w:tc>
      </w:tr>
      <w:tr w:rsidR="00F073C0" w:rsidRPr="008819FD" w14:paraId="543A92C7" w14:textId="77777777" w:rsidTr="008B409F">
        <w:tc>
          <w:tcPr>
            <w:tcW w:w="676" w:type="pct"/>
            <w:hideMark/>
          </w:tcPr>
          <w:p w14:paraId="5342B4CF"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INT-02</w:t>
            </w:r>
          </w:p>
        </w:tc>
        <w:tc>
          <w:tcPr>
            <w:tcW w:w="2091" w:type="pct"/>
            <w:hideMark/>
          </w:tcPr>
          <w:p w14:paraId="411F5DA3"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“The UAE Arbitration Law is compatible with UNCITRAL in structure, but it is silent on electronic hearings and cybersecurity, which are now critical elements of international best practice.”</w:t>
            </w:r>
          </w:p>
        </w:tc>
        <w:tc>
          <w:tcPr>
            <w:tcW w:w="1100" w:type="pct"/>
            <w:hideMark/>
          </w:tcPr>
          <w:p w14:paraId="6B581A64"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Absence of explicit provisions on electronic hearings &amp; cybersecurity</w:t>
            </w:r>
          </w:p>
        </w:tc>
        <w:tc>
          <w:tcPr>
            <w:tcW w:w="1133" w:type="pct"/>
            <w:hideMark/>
          </w:tcPr>
          <w:p w14:paraId="2DF968EA"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Gaps in adapting to digital transformation</w:t>
            </w:r>
          </w:p>
        </w:tc>
      </w:tr>
      <w:tr w:rsidR="00F073C0" w:rsidRPr="008819FD" w14:paraId="109107F2" w14:textId="77777777" w:rsidTr="008B409F">
        <w:tc>
          <w:tcPr>
            <w:tcW w:w="676" w:type="pct"/>
            <w:hideMark/>
          </w:tcPr>
          <w:p w14:paraId="661DB7DA"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INT-11</w:t>
            </w:r>
          </w:p>
        </w:tc>
        <w:tc>
          <w:tcPr>
            <w:tcW w:w="2091" w:type="pct"/>
            <w:hideMark/>
          </w:tcPr>
          <w:p w14:paraId="1D23250D"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“International compatibility should not be assessed only in terms of legal drafting; enforcement in UAE courts sometimes lacks the consistency expected under UNCITRAL principles.”</w:t>
            </w:r>
          </w:p>
        </w:tc>
        <w:tc>
          <w:tcPr>
            <w:tcW w:w="1100" w:type="pct"/>
            <w:hideMark/>
          </w:tcPr>
          <w:p w14:paraId="68512B0D"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Inconsistent enforcement practices</w:t>
            </w:r>
          </w:p>
        </w:tc>
        <w:tc>
          <w:tcPr>
            <w:tcW w:w="1133" w:type="pct"/>
            <w:hideMark/>
          </w:tcPr>
          <w:p w14:paraId="0CED8EEE"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The gap between law in theory and law in practice</w:t>
            </w:r>
          </w:p>
        </w:tc>
      </w:tr>
      <w:tr w:rsidR="00F073C0" w:rsidRPr="008819FD" w14:paraId="6679D236" w14:textId="77777777" w:rsidTr="008B409F">
        <w:tc>
          <w:tcPr>
            <w:tcW w:w="676" w:type="pct"/>
            <w:hideMark/>
          </w:tcPr>
          <w:p w14:paraId="26EA8D55"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lastRenderedPageBreak/>
              <w:t>INT-04</w:t>
            </w:r>
          </w:p>
        </w:tc>
        <w:tc>
          <w:tcPr>
            <w:tcW w:w="2091" w:type="pct"/>
            <w:hideMark/>
          </w:tcPr>
          <w:p w14:paraId="0F3CB51F"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“UNCITRAL provides clarity on electronic communications, but the UAE law does not provide detailed procedures for authenticating electronic evidence in international cases.”</w:t>
            </w:r>
          </w:p>
        </w:tc>
        <w:tc>
          <w:tcPr>
            <w:tcW w:w="1100" w:type="pct"/>
            <w:hideMark/>
          </w:tcPr>
          <w:p w14:paraId="26FD256E"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Lack of rules for the authenticity of digital evidence</w:t>
            </w:r>
          </w:p>
        </w:tc>
        <w:tc>
          <w:tcPr>
            <w:tcW w:w="1133" w:type="pct"/>
            <w:hideMark/>
          </w:tcPr>
          <w:p w14:paraId="5891A528"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Weakness in evidentiary safeguards</w:t>
            </w:r>
          </w:p>
        </w:tc>
      </w:tr>
      <w:tr w:rsidR="00F073C0" w:rsidRPr="008819FD" w14:paraId="08B1FCFE" w14:textId="77777777" w:rsidTr="008B409F">
        <w:tc>
          <w:tcPr>
            <w:tcW w:w="676" w:type="pct"/>
            <w:hideMark/>
          </w:tcPr>
          <w:p w14:paraId="6A8243EC"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INT-13</w:t>
            </w:r>
          </w:p>
        </w:tc>
        <w:tc>
          <w:tcPr>
            <w:tcW w:w="2091" w:type="pct"/>
            <w:hideMark/>
          </w:tcPr>
          <w:p w14:paraId="22749A90"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“Compared to the UNCITRAL Model Law, the UAE legislation is progressive, but it has yet to adopt explicit provisions on electronic commerce in arbitration, such as those recommended by UNCITRAL on digital transactions.”</w:t>
            </w:r>
          </w:p>
        </w:tc>
        <w:tc>
          <w:tcPr>
            <w:tcW w:w="1100" w:type="pct"/>
            <w:hideMark/>
          </w:tcPr>
          <w:p w14:paraId="6E5A5A61"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Missing provisions on e-commerce in arbitration</w:t>
            </w:r>
          </w:p>
        </w:tc>
        <w:tc>
          <w:tcPr>
            <w:tcW w:w="1133" w:type="pct"/>
            <w:hideMark/>
          </w:tcPr>
          <w:p w14:paraId="1B4A33CD"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Need for digital-specific legislative updates</w:t>
            </w:r>
          </w:p>
        </w:tc>
      </w:tr>
    </w:tbl>
    <w:p w14:paraId="2F43549F"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p>
    <w:p w14:paraId="45122204" w14:textId="77777777" w:rsidR="00F073C0" w:rsidRPr="008819FD" w:rsidRDefault="00817F41" w:rsidP="009F5ACD">
      <w:pPr>
        <w:pStyle w:val="Heading3"/>
        <w:rPr>
          <w:rFonts w:asciiTheme="majorBidi" w:hAnsiTheme="majorBidi" w:cstheme="majorBidi"/>
        </w:rPr>
      </w:pPr>
      <w:bookmarkStart w:id="335" w:name="_Toc221804579"/>
      <w:r>
        <w:rPr>
          <w:rFonts w:asciiTheme="majorBidi" w:eastAsia="Times New Roman" w:hAnsiTheme="majorBidi" w:cstheme="majorBidi"/>
        </w:rPr>
        <w:t xml:space="preserve">6.2.4 </w:t>
      </w:r>
      <w:r>
        <w:rPr>
          <w:rFonts w:asciiTheme="majorBidi" w:hAnsiTheme="majorBidi" w:cstheme="majorBidi"/>
        </w:rPr>
        <w:t>Q3:Do you believe there is a need for a separate law to govern electronic arbitration, or are amendments to existing laws (such as Federal Arbitration Law No. 6 of 2018 and its amendments) sufficient?</w:t>
      </w:r>
      <w:bookmarkEnd w:id="335"/>
    </w:p>
    <w:p w14:paraId="63AFCD84"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 xml:space="preserve">The third interview question examined whether the regulation of electronic arbitration in the UAE requires a stand-alone legislative instrument or whether targeted amendments to existing legislation—most notably the Federal Arbitration Law No. 6 of 2018—would be sufficient. This question directly addresses the main research question concerning the need for government regulation of online arbitration and builds on the findings of Q1 and Q2 by focusing on the </w:t>
      </w:r>
      <w:r>
        <w:rPr>
          <w:rFonts w:asciiTheme="majorBidi" w:hAnsiTheme="majorBidi" w:cstheme="majorBidi"/>
          <w:i/>
          <w:iCs/>
        </w:rPr>
        <w:t>form</w:t>
      </w:r>
      <w:r>
        <w:rPr>
          <w:rFonts w:asciiTheme="majorBidi" w:hAnsiTheme="majorBidi" w:cstheme="majorBidi"/>
        </w:rPr>
        <w:t xml:space="preserve"> and </w:t>
      </w:r>
      <w:r>
        <w:rPr>
          <w:rFonts w:asciiTheme="majorBidi" w:hAnsiTheme="majorBidi" w:cstheme="majorBidi"/>
          <w:i/>
          <w:iCs/>
        </w:rPr>
        <w:t>scope</w:t>
      </w:r>
      <w:r>
        <w:rPr>
          <w:rFonts w:asciiTheme="majorBidi" w:hAnsiTheme="majorBidi" w:cstheme="majorBidi"/>
        </w:rPr>
        <w:t xml:space="preserve"> of regulatory intervention.</w:t>
      </w:r>
    </w:p>
    <w:p w14:paraId="6A6C2787"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lastRenderedPageBreak/>
        <w:t>The responses revealed a diversity of expert opinions, reflecting an ongoing international debate on whether electronic arbitration should be governed by specialised legislation or integrated within existing arbitration frameworks. While participants differed on the preferred regulatory model, there was strong consensus that the current legal position is inadequate to address the complexities of digital arbitration.</w:t>
      </w:r>
    </w:p>
    <w:p w14:paraId="5235596F"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Several respondents strongly supported the adoption of a separate law dedicated to electronic arbitration. One participant argued that “the current arbitration law was drafted with traditional hearings in mind; digital arbitration raises issues such as cybersecurity, digital evidence, and cross-border data transfers, which deserve a dedicated legislative framework” (Interview INT-08). This position reflects concerns identified under Sub-Question 1, particularly regarding confidentiality, data protection, and cybersecurity. From an analytical perspective, the argument for a stand-alone law is grounded in the need for legal certainty, uniformity, and binding digital standards that would apply consistently across all arbitral institutions, thereby reducing fragmentation.</w:t>
      </w:r>
    </w:p>
    <w:p w14:paraId="63B4C6AC"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In contrast, other participants favored incremental reform through legislative amendments rather than the creation of a new statute. One expert cautioned that “creating a new law risks unnecessary duplication; the 2018 Arbitration Law already incorporates many UNCITRAL principles, so targeted amendments could cover online hearings, confidentiality, and digital authentication” (Interview INT-01). This view reflects a pragmatic concern for legislative coherence and efficiency, emphasizing that arbitration law benefits from flexibility and adaptability. Analytically, this position aligns with Sub-Question 2, suggesting that the effectiveness of the regulatory framework could be enhanced through carefully drafted amendments rather than structural overhaul.</w:t>
      </w:r>
    </w:p>
    <w:p w14:paraId="29369C09"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lastRenderedPageBreak/>
        <w:t>A more nuanced position emerged from a senior arbitrator who proposed a hybrid regulatory model, suggesting that “the UAE does not necessarily need a fully separate law, but a comprehensive chapter or section dedicated to electronic arbitration within the existing statute could ensure clarity while maintaining legislative unity” (Interview INT-10). This approach reflects a compromise between certainty and coherence, recognizing the need for explicit regulation of digital arbitration while avoiding legislative fragmentation. From a policy perspective, this model offers a flexible pathway that allows the UAE to adapt to technological developments while remaining aligned with international practice.</w:t>
      </w:r>
    </w:p>
    <w:p w14:paraId="2F0CE029"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Concerns about the status quo were consistently raised, regardless of the preferred legislative approach. One respondent observed that “electronic arbitration is regulated more by institutional discretion than by binding law; this creates uneven application and undermines party confidence” (Interview INT-06). This insight reinforces findings from Q1 and Q2, highlighting that over-reliance on institutional rules without statutory backing leads to inconsistencies in data protection, cybersecurity obligations, and evidentiary standards. Analytically, this finding strengthens the argument that government regulation is necessary, even if its precise form remains contested.</w:t>
      </w:r>
    </w:p>
    <w:p w14:paraId="1C004509"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A comparative perspective was also introduced, with one academic noting that “other jurisdictions influenced by UNCITRAL’s model provisions on electronic commerce have successfully integrated e-arbitration within existing laws” (Interview INT-15). This observation situates the UAE within a broader international context and suggests that alignment with UNCITRAL principles does not require entirely new legislation, but rather thoughtful adaptation of existing frameworks.</w:t>
      </w:r>
    </w:p>
    <w:p w14:paraId="51653054"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Linkage to Research Questions</w:t>
      </w:r>
    </w:p>
    <w:p w14:paraId="31FBD9FD"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lastRenderedPageBreak/>
        <w:t xml:space="preserve">Taken together, the findings demonstrate a clear consensus on the need for reform, thereby directly answering the main research question: government intervention is required to regulate online arbitration in the UAE. The divergence of opinions relates not to </w:t>
      </w:r>
      <w:r>
        <w:rPr>
          <w:rFonts w:asciiTheme="majorBidi" w:hAnsiTheme="majorBidi" w:cstheme="majorBidi"/>
          <w:i/>
          <w:iCs/>
        </w:rPr>
        <w:t>whether</w:t>
      </w:r>
      <w:r>
        <w:rPr>
          <w:rFonts w:asciiTheme="majorBidi" w:hAnsiTheme="majorBidi" w:cstheme="majorBidi"/>
        </w:rPr>
        <w:t xml:space="preserve"> regulation is needed, but to </w:t>
      </w:r>
      <w:r>
        <w:rPr>
          <w:rFonts w:asciiTheme="majorBidi" w:hAnsiTheme="majorBidi" w:cstheme="majorBidi"/>
          <w:i/>
          <w:iCs/>
        </w:rPr>
        <w:t>how</w:t>
      </w:r>
      <w:r>
        <w:rPr>
          <w:rFonts w:asciiTheme="majorBidi" w:hAnsiTheme="majorBidi" w:cstheme="majorBidi"/>
        </w:rPr>
        <w:t xml:space="preserve"> it should be structured. In relation to Sub-Question 1, participants identified persistent challenges concerning confidentiality, cybersecurity, digital evidence, and cross-border data transfers. With respect to Sub-Question 2, the findings suggest that regulatory effectiveness could be enhanced through either a dedicated statute, a hybrid legislative model, or targeted amendments—provided that such reforms introduce binding and enforceable standards.</w:t>
      </w:r>
    </w:p>
    <w:p w14:paraId="25E67FBA" w14:textId="77777777" w:rsidR="008B409F" w:rsidRPr="008819FD" w:rsidRDefault="00F073C0" w:rsidP="004F7C15">
      <w:pPr>
        <w:spacing w:line="480" w:lineRule="auto"/>
        <w:ind w:firstLine="720"/>
        <w:rPr>
          <w:rFonts w:asciiTheme="majorBidi" w:hAnsiTheme="majorBidi" w:cstheme="majorBidi"/>
        </w:rPr>
      </w:pPr>
      <w:r>
        <w:rPr>
          <w:rFonts w:asciiTheme="majorBidi" w:hAnsiTheme="majorBidi" w:cstheme="majorBidi"/>
        </w:rPr>
        <w:t>Overall, the evidence indicates that maintaining the current legal framework without reform is no longer tenable. Whether through a separate law, a specialised statutory chapter, or comprehensive amendments, the UAE must strengthen its legislative response to electronic arbitration in order to enhance legal certainty, protect sensitive data, and sustain confidence in its arbitration regime. This conclusion directly informs the policy recommendations advanced in Chapter 7.</w:t>
      </w:r>
      <w:r>
        <w:rPr>
          <w:rFonts w:asciiTheme="majorBidi" w:eastAsia="Times New Roman" w:hAnsiTheme="majorBidi" w:cstheme="majorBidi"/>
        </w:rPr>
        <w:t xml:space="preserve"> </w:t>
      </w:r>
      <w:r>
        <w:rPr>
          <w:rFonts w:asciiTheme="majorBidi" w:hAnsiTheme="majorBidi" w:cstheme="majorBidi"/>
        </w:rPr>
        <w:t>As shown in Table 6, participants’ perceptions of procedural efficiency in online arbitration are analysed.</w:t>
      </w:r>
    </w:p>
    <w:p w14:paraId="16BEBA9F" w14:textId="7923C09B" w:rsidR="00F073C0" w:rsidRPr="008819FD" w:rsidRDefault="00F073C0" w:rsidP="00CA2D0F">
      <w:pPr>
        <w:pStyle w:val="Caption"/>
        <w:rPr>
          <w:rFonts w:asciiTheme="majorBidi" w:eastAsia="Calibri" w:hAnsiTheme="majorBidi" w:cstheme="majorBidi"/>
          <w:color w:val="000000"/>
        </w:rPr>
      </w:pPr>
      <w:bookmarkStart w:id="336" w:name="_Toc219753439"/>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6</w:t>
      </w:r>
      <w:r>
        <w:rPr>
          <w:rFonts w:asciiTheme="majorBidi" w:hAnsiTheme="majorBidi" w:cstheme="majorBidi"/>
          <w:b/>
        </w:rPr>
        <w:fldChar w:fldCharType="end"/>
      </w:r>
      <w:r>
        <w:rPr>
          <w:rFonts w:asciiTheme="majorBidi" w:hAnsiTheme="majorBidi" w:cstheme="majorBidi"/>
        </w:rPr>
        <w:br/>
      </w:r>
      <w:bookmarkEnd w:id="336"/>
      <w:r>
        <w:rPr>
          <w:rFonts w:asciiTheme="majorBidi" w:hAnsiTheme="majorBidi" w:cstheme="majorBidi"/>
          <w:i/>
          <w:iCs/>
        </w:rPr>
        <w:t>Perceptions of Procedural Efficiency in Online Arbitration</w:t>
      </w:r>
    </w:p>
    <w:tbl>
      <w:tblPr>
        <w:tblW w:w="5000" w:type="pct"/>
        <w:tblBorders>
          <w:top w:val="single" w:sz="4" w:space="0" w:color="auto"/>
          <w:bottom w:val="single" w:sz="4" w:space="0" w:color="auto"/>
        </w:tblBorders>
        <w:tblLook w:val="04A0" w:firstRow="1" w:lastRow="0" w:firstColumn="1" w:lastColumn="0" w:noHBand="0" w:noVBand="1"/>
      </w:tblPr>
      <w:tblGrid>
        <w:gridCol w:w="1262"/>
        <w:gridCol w:w="3785"/>
        <w:gridCol w:w="2058"/>
        <w:gridCol w:w="2016"/>
      </w:tblGrid>
      <w:tr w:rsidR="00F073C0" w:rsidRPr="008819FD" w14:paraId="02213F69" w14:textId="77777777" w:rsidTr="008B409F">
        <w:tc>
          <w:tcPr>
            <w:tcW w:w="691" w:type="pct"/>
            <w:hideMark/>
          </w:tcPr>
          <w:p w14:paraId="2E0A1425"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Interview Code</w:t>
            </w:r>
          </w:p>
        </w:tc>
        <w:tc>
          <w:tcPr>
            <w:tcW w:w="2075" w:type="pct"/>
            <w:hideMark/>
          </w:tcPr>
          <w:p w14:paraId="53B393A0"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Evidence (Participant Quote)</w:t>
            </w:r>
          </w:p>
        </w:tc>
        <w:tc>
          <w:tcPr>
            <w:tcW w:w="1128" w:type="pct"/>
            <w:hideMark/>
          </w:tcPr>
          <w:p w14:paraId="2B334634"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Concept Derived</w:t>
            </w:r>
          </w:p>
        </w:tc>
        <w:tc>
          <w:tcPr>
            <w:tcW w:w="1105" w:type="pct"/>
            <w:hideMark/>
          </w:tcPr>
          <w:p w14:paraId="69191400" w14:textId="77777777" w:rsidR="00F073C0" w:rsidRPr="008819FD" w:rsidRDefault="00F073C0" w:rsidP="0099552A">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Analytical Theme</w:t>
            </w:r>
          </w:p>
        </w:tc>
      </w:tr>
      <w:tr w:rsidR="00F073C0" w:rsidRPr="008819FD" w14:paraId="78768B90" w14:textId="77777777" w:rsidTr="008B409F">
        <w:tc>
          <w:tcPr>
            <w:tcW w:w="691" w:type="pct"/>
            <w:hideMark/>
          </w:tcPr>
          <w:p w14:paraId="508A58D7"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INT-08</w:t>
            </w:r>
          </w:p>
        </w:tc>
        <w:tc>
          <w:tcPr>
            <w:tcW w:w="2075" w:type="pct"/>
            <w:hideMark/>
          </w:tcPr>
          <w:p w14:paraId="667F04B3"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 xml:space="preserve">“The current arbitration law was drafted with traditional hearings in mind; digital arbitration raises </w:t>
            </w:r>
            <w:r>
              <w:rPr>
                <w:rFonts w:asciiTheme="majorBidi" w:eastAsia="Calibri" w:hAnsiTheme="majorBidi" w:cstheme="majorBidi"/>
                <w:i/>
                <w:iCs/>
                <w:color w:val="000000"/>
              </w:rPr>
              <w:lastRenderedPageBreak/>
              <w:t>issues … which deserve a dedicated legislative framework.”</w:t>
            </w:r>
          </w:p>
        </w:tc>
        <w:tc>
          <w:tcPr>
            <w:tcW w:w="1128" w:type="pct"/>
            <w:hideMark/>
          </w:tcPr>
          <w:p w14:paraId="31E43AA5"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lastRenderedPageBreak/>
              <w:t>Need for a separate law on e-arbitration</w:t>
            </w:r>
          </w:p>
        </w:tc>
        <w:tc>
          <w:tcPr>
            <w:tcW w:w="1105" w:type="pct"/>
            <w:hideMark/>
          </w:tcPr>
          <w:p w14:paraId="1BAA89D6"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Call for comprehensive reform</w:t>
            </w:r>
          </w:p>
        </w:tc>
      </w:tr>
      <w:tr w:rsidR="00F073C0" w:rsidRPr="008819FD" w14:paraId="2022290F" w14:textId="77777777" w:rsidTr="008B409F">
        <w:tc>
          <w:tcPr>
            <w:tcW w:w="691" w:type="pct"/>
            <w:hideMark/>
          </w:tcPr>
          <w:p w14:paraId="76D515AF"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INT-01</w:t>
            </w:r>
          </w:p>
        </w:tc>
        <w:tc>
          <w:tcPr>
            <w:tcW w:w="2075" w:type="pct"/>
            <w:hideMark/>
          </w:tcPr>
          <w:p w14:paraId="67ADDCDF"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“Creating a new law risks unnecessary duplication; targeted amendments could cover online hearings, confidentiality, and digital authentication.”</w:t>
            </w:r>
          </w:p>
        </w:tc>
        <w:tc>
          <w:tcPr>
            <w:tcW w:w="1128" w:type="pct"/>
            <w:hideMark/>
          </w:tcPr>
          <w:p w14:paraId="13FF526C"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Amendments sufficient to cover digital aspects</w:t>
            </w:r>
          </w:p>
        </w:tc>
        <w:tc>
          <w:tcPr>
            <w:tcW w:w="1105" w:type="pct"/>
            <w:hideMark/>
          </w:tcPr>
          <w:p w14:paraId="4509B2EE"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Preference for legislative economy</w:t>
            </w:r>
          </w:p>
        </w:tc>
      </w:tr>
      <w:tr w:rsidR="00F073C0" w:rsidRPr="008819FD" w14:paraId="706112D6" w14:textId="77777777" w:rsidTr="008B409F">
        <w:tc>
          <w:tcPr>
            <w:tcW w:w="691" w:type="pct"/>
            <w:hideMark/>
          </w:tcPr>
          <w:p w14:paraId="598DDAB2"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INT-10</w:t>
            </w:r>
          </w:p>
        </w:tc>
        <w:tc>
          <w:tcPr>
            <w:tcW w:w="2075" w:type="pct"/>
            <w:hideMark/>
          </w:tcPr>
          <w:p w14:paraId="320BCBFC"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“The UAE does not necessarily need a fully separate law, but a comprehensive chapter … could ensure clarity while maintaining unity.”</w:t>
            </w:r>
          </w:p>
        </w:tc>
        <w:tc>
          <w:tcPr>
            <w:tcW w:w="1128" w:type="pct"/>
            <w:hideMark/>
          </w:tcPr>
          <w:p w14:paraId="099D5CEA"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Hybrid approach (special chapter in existing law)</w:t>
            </w:r>
          </w:p>
        </w:tc>
        <w:tc>
          <w:tcPr>
            <w:tcW w:w="1105" w:type="pct"/>
            <w:hideMark/>
          </w:tcPr>
          <w:p w14:paraId="750232BA"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Balance between clarity and coherence</w:t>
            </w:r>
          </w:p>
        </w:tc>
      </w:tr>
      <w:tr w:rsidR="00F073C0" w:rsidRPr="008819FD" w14:paraId="509B18EF" w14:textId="77777777" w:rsidTr="008B409F">
        <w:tc>
          <w:tcPr>
            <w:tcW w:w="691" w:type="pct"/>
            <w:hideMark/>
          </w:tcPr>
          <w:p w14:paraId="571C92F4"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INT-06</w:t>
            </w:r>
          </w:p>
        </w:tc>
        <w:tc>
          <w:tcPr>
            <w:tcW w:w="2075" w:type="pct"/>
            <w:hideMark/>
          </w:tcPr>
          <w:p w14:paraId="7E3E742D"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“Electronic arbitration is regulated more by institutional discretion than by binding law; this creates uneven application.”</w:t>
            </w:r>
          </w:p>
        </w:tc>
        <w:tc>
          <w:tcPr>
            <w:tcW w:w="1128" w:type="pct"/>
            <w:hideMark/>
          </w:tcPr>
          <w:p w14:paraId="3CFBE4E0"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Lack of statutory clarity and overreliance on institutions</w:t>
            </w:r>
          </w:p>
        </w:tc>
        <w:tc>
          <w:tcPr>
            <w:tcW w:w="1105" w:type="pct"/>
            <w:hideMark/>
          </w:tcPr>
          <w:p w14:paraId="2688290A"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Risks of inconsistency and uncertainty</w:t>
            </w:r>
          </w:p>
        </w:tc>
      </w:tr>
      <w:tr w:rsidR="00F073C0" w:rsidRPr="008819FD" w14:paraId="7E12B6E5" w14:textId="77777777" w:rsidTr="008B409F">
        <w:tc>
          <w:tcPr>
            <w:tcW w:w="691" w:type="pct"/>
            <w:hideMark/>
          </w:tcPr>
          <w:p w14:paraId="69185A6B"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INT-15</w:t>
            </w:r>
          </w:p>
        </w:tc>
        <w:tc>
          <w:tcPr>
            <w:tcW w:w="2075" w:type="pct"/>
            <w:hideMark/>
          </w:tcPr>
          <w:p w14:paraId="6651B3A7"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“Other jurisdictions … have successfully integrated e-arbitration within existing laws; the UAE could adopt a similar path.”</w:t>
            </w:r>
          </w:p>
        </w:tc>
        <w:tc>
          <w:tcPr>
            <w:tcW w:w="1128" w:type="pct"/>
            <w:hideMark/>
          </w:tcPr>
          <w:p w14:paraId="67660660"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Comparative support for amendments</w:t>
            </w:r>
          </w:p>
        </w:tc>
        <w:tc>
          <w:tcPr>
            <w:tcW w:w="1105" w:type="pct"/>
            <w:hideMark/>
          </w:tcPr>
          <w:p w14:paraId="500F829E"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International alignment through adaptation</w:t>
            </w:r>
          </w:p>
        </w:tc>
      </w:tr>
    </w:tbl>
    <w:p w14:paraId="2EFF64AE" w14:textId="77777777" w:rsidR="00F073C0" w:rsidRPr="008819FD" w:rsidRDefault="00F073C0" w:rsidP="0099552A">
      <w:pPr>
        <w:shd w:val="clear" w:color="auto" w:fill="FFFFFF"/>
        <w:spacing w:after="0" w:line="480" w:lineRule="auto"/>
        <w:rPr>
          <w:rFonts w:asciiTheme="majorBidi" w:eastAsia="Calibri" w:hAnsiTheme="majorBidi" w:cstheme="majorBidi"/>
          <w:color w:val="000000"/>
          <w:lang w:val="en-GB"/>
        </w:rPr>
      </w:pPr>
    </w:p>
    <w:p w14:paraId="16C639DC" w14:textId="77777777" w:rsidR="00F073C0" w:rsidRPr="008819FD" w:rsidRDefault="00817F41" w:rsidP="009F5ACD">
      <w:pPr>
        <w:pStyle w:val="Heading3"/>
        <w:rPr>
          <w:rFonts w:asciiTheme="majorBidi" w:hAnsiTheme="majorBidi" w:cstheme="majorBidi"/>
        </w:rPr>
      </w:pPr>
      <w:bookmarkStart w:id="337" w:name="_Toc221804580"/>
      <w:r>
        <w:rPr>
          <w:rFonts w:asciiTheme="majorBidi" w:eastAsia="Times New Roman" w:hAnsiTheme="majorBidi" w:cstheme="majorBidi"/>
        </w:rPr>
        <w:lastRenderedPageBreak/>
        <w:t xml:space="preserve">6.2.5 </w:t>
      </w:r>
      <w:r>
        <w:rPr>
          <w:rFonts w:asciiTheme="majorBidi" w:hAnsiTheme="majorBidi" w:cstheme="majorBidi"/>
        </w:rPr>
        <w:t>Q4: What are the main procedural challenges faced by parties and arbitrators in online commercial arbitration in the UAE?</w:t>
      </w:r>
      <w:bookmarkEnd w:id="337"/>
    </w:p>
    <w:p w14:paraId="4DA66DCF"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The fourth interview question explored the practical procedural challenges encountered by parties and arbitrators in online commercial arbitration in the UAE. This question is central to the study because it moves beyond legislative design to examine how online arbitration functions in practice. It directly informs the main research question—whether government regulation is needed to support online arbitration—and contributes to the sub-questions by identifying concrete obstacles affecting confidentiality, data protection, procedural fairness, and efficiency.</w:t>
      </w:r>
    </w:p>
    <w:p w14:paraId="04CF8395"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The interview findings reveal that procedural challenges in online arbitration are multidimensional, encompassing technological limitations, cybersecurity risks, evidentiary uncertainty, inequality of resources, and human adaptability. These challenges demonstrate that the effectiveness of online arbitration depends not only on legal frameworks but also on institutional capacity and operational readiness.</w:t>
      </w:r>
    </w:p>
    <w:p w14:paraId="27F79564"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A recurring theme across interviews concerned technological infrastructure and access. One academic expert observed that “not all participants have equal access to reliable virtual, secure platforms, or technical support, and this creates an imbalance in how proceedings are conducted” (Interview INT-02). This finding highlights a procedural risk to the principle of equality of arms, particularly in international cases involving parties from jurisdictions with uneven technological capabilities. Analytically, this challenge relates to Sub-Question 1, as procedural inequality can indirectly undermine confidentiality and fairness in digital proceedings, even where legal safeguards exist.</w:t>
      </w:r>
    </w:p>
    <w:p w14:paraId="602AE1E3"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lastRenderedPageBreak/>
        <w:t>Cybersecurity and confidentiality risks were also identified as significant procedural concerns. A practicing lawyer noted that “there are concerns about data leaks during virtual hearings or electronic evidence submission; even when encryption is promised, parties remain skeptical” (Interview INT-09). This observation underscores that confidence in online arbitration is closely tied to the perceived security of digital platforms. From an analytical perspective, this finding reinforces earlier results (Q1–Q3) showing that procedural trust cannot be ensured by legal rules alone and that technical vulnerabilities pose a continuing threat to confidentiality and data protection in practice.</w:t>
      </w:r>
    </w:p>
    <w:p w14:paraId="6828A305"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Evidentiary challenges emerged as another major procedural difficulty. One arbitrator explained that “it is often difficult to authenticate electronic documents and digital signatures, especially when parties contest the validity of submitted evidence” (Interview INT-14). This highlights the burden placed on arbitral tribunals when determining admissibility and reliability of digital evidence in the absence of uniform standards. Analytically, this finding supports Sub-Question 2, indicating that regulatory effectiveness could be enhanced through clearer procedural rules governing electronic evidence, thereby reducing discretionary inconsistency and disputes over procedural fairness.</w:t>
      </w:r>
    </w:p>
    <w:p w14:paraId="7A02E3AF"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 xml:space="preserve">Several respondents also raised concerns about inequality of resources between parties. A senior participant noted that “larger corporations can afford advanced digital tools, while smaller businesses struggle; this creates a procedural imbalance in online arbitration” (Interview INT-03). This observation reflects broader access-to-justice concerns and suggests that the digitalization of arbitration may inadvertently exacerbate disparities rather than reduce them. The analysis here indicates that procedural fairness in online arbitration requires not </w:t>
      </w:r>
      <w:r>
        <w:rPr>
          <w:rFonts w:asciiTheme="majorBidi" w:hAnsiTheme="majorBidi" w:cstheme="majorBidi"/>
        </w:rPr>
        <w:lastRenderedPageBreak/>
        <w:t>only legal equality but also institutional measures to ensure standardised and affordable technological solutions.</w:t>
      </w:r>
    </w:p>
    <w:p w14:paraId="5BE5ADDA"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Finally, respondents emphasised the importance of human adaptability and professional competence. One participant remarked that “many arbitrators are not sufficiently trained in digital hearings; delays and procedural irregularities arise when they cannot manage virtual proceedings effectively” (Interview INT-12). This insight demonstrates that procedural challenges are not purely technical or legal but also institutional and human. Analytically, this finding highlights the need for structured training and capacity-building initiatives to ensure that arbitrators and counsel can competently manage online proceedings.</w:t>
      </w:r>
    </w:p>
    <w:p w14:paraId="154B7903"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Linkage to Research Questions</w:t>
      </w:r>
    </w:p>
    <w:p w14:paraId="0B6E2263"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Taken together, the findings show that procedural challenges in online arbitration extend well beyond legislative gaps. They involve operational, technical, institutional, and human factors that directly affect confidentiality, fairness, and efficiency. In response to the main research question, the evidence suggests that government regulation alone is insufficient unless complemented by institutional rules, technical standards, and capacity-building measures.</w:t>
      </w:r>
    </w:p>
    <w:p w14:paraId="1B29EF95"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With respect to Sub-Question 1, the findings identify cybersecurity risks, evidentiary uncertainty, and technological inequality as key procedural challenges affecting confidentiality and data protection. Regarding Sub-Question 2, the results indicate that the effectiveness of the regulatory framework could be enhanced through clearer procedural guidance, standardised digital platforms, binding cybersecurity requirements, and mandatory training for arbitrators and institutions.</w:t>
      </w:r>
    </w:p>
    <w:p w14:paraId="32D8E2C6" w14:textId="77777777" w:rsidR="00F073C0" w:rsidRPr="008819FD" w:rsidRDefault="00F073C0" w:rsidP="004F7C15">
      <w:pPr>
        <w:spacing w:line="480" w:lineRule="auto"/>
        <w:ind w:firstLine="720"/>
        <w:rPr>
          <w:rFonts w:asciiTheme="majorBidi" w:hAnsiTheme="majorBidi" w:cstheme="majorBidi"/>
        </w:rPr>
      </w:pPr>
      <w:r>
        <w:rPr>
          <w:rFonts w:asciiTheme="majorBidi" w:hAnsiTheme="majorBidi" w:cstheme="majorBidi"/>
        </w:rPr>
        <w:lastRenderedPageBreak/>
        <w:t>Overall, the findings confirm that addressing procedural challenges in online arbitration requires a holistic regulatory approach, combining legislative refinement, institutional responsibility, technological safeguards, and professional development. Without such coordinated measures, procedural weaknesses may continue to undermine confidence in online commercial arbitration in the UAE, limiting its effectiveness despite an otherwise progressive legal framework.</w:t>
      </w:r>
      <w:r>
        <w:rPr>
          <w:rFonts w:asciiTheme="majorBidi" w:eastAsia="Times New Roman" w:hAnsiTheme="majorBidi" w:cstheme="majorBidi"/>
        </w:rPr>
        <w:t xml:space="preserve"> </w:t>
      </w:r>
      <w:r>
        <w:rPr>
          <w:rFonts w:asciiTheme="majorBidi" w:hAnsiTheme="majorBidi" w:cstheme="majorBidi"/>
        </w:rPr>
        <w:t>Table 7 summarises the levels of satisfaction with online arbitration mechanisms.</w:t>
      </w:r>
    </w:p>
    <w:p w14:paraId="45808FE2" w14:textId="4577B9D9" w:rsidR="00F073C0" w:rsidRPr="008819FD" w:rsidRDefault="00F073C0" w:rsidP="00CA2D0F">
      <w:pPr>
        <w:pStyle w:val="Caption"/>
        <w:rPr>
          <w:rFonts w:asciiTheme="majorBidi" w:eastAsia="Calibri" w:hAnsiTheme="majorBidi" w:cstheme="majorBidi"/>
          <w:i/>
          <w:iCs/>
          <w:color w:val="000000"/>
        </w:rPr>
      </w:pPr>
      <w:bookmarkStart w:id="338" w:name="_Toc219753440"/>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7</w:t>
      </w:r>
      <w:r>
        <w:rPr>
          <w:rFonts w:asciiTheme="majorBidi" w:hAnsiTheme="majorBidi" w:cstheme="majorBidi"/>
          <w:b/>
        </w:rPr>
        <w:fldChar w:fldCharType="end"/>
      </w:r>
      <w:r>
        <w:rPr>
          <w:rFonts w:asciiTheme="majorBidi" w:hAnsiTheme="majorBidi" w:cstheme="majorBidi"/>
        </w:rPr>
        <w:br/>
      </w:r>
      <w:bookmarkEnd w:id="338"/>
      <w:r>
        <w:rPr>
          <w:rFonts w:asciiTheme="majorBidi" w:hAnsiTheme="majorBidi" w:cstheme="majorBidi"/>
          <w:i/>
          <w:iCs/>
        </w:rPr>
        <w:t>Participant Satisfaction with Online Arbitration Mechanisms</w:t>
      </w:r>
    </w:p>
    <w:tbl>
      <w:tblPr>
        <w:tblW w:w="5000" w:type="pct"/>
        <w:tblBorders>
          <w:top w:val="single" w:sz="4" w:space="0" w:color="auto"/>
          <w:bottom w:val="single" w:sz="4" w:space="0" w:color="auto"/>
        </w:tblBorders>
        <w:tblLook w:val="04A0" w:firstRow="1" w:lastRow="0" w:firstColumn="1" w:lastColumn="0" w:noHBand="0" w:noVBand="1"/>
      </w:tblPr>
      <w:tblGrid>
        <w:gridCol w:w="1315"/>
        <w:gridCol w:w="3450"/>
        <w:gridCol w:w="2211"/>
        <w:gridCol w:w="2145"/>
      </w:tblGrid>
      <w:tr w:rsidR="00F073C0" w:rsidRPr="008819FD" w14:paraId="41418C1C" w14:textId="77777777" w:rsidTr="008B409F">
        <w:tc>
          <w:tcPr>
            <w:tcW w:w="721" w:type="pct"/>
            <w:hideMark/>
          </w:tcPr>
          <w:p w14:paraId="701CB5A7"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Interview Code</w:t>
            </w:r>
          </w:p>
        </w:tc>
        <w:tc>
          <w:tcPr>
            <w:tcW w:w="1891" w:type="pct"/>
            <w:hideMark/>
          </w:tcPr>
          <w:p w14:paraId="1871BEBB"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Evidence (Participant Quote)</w:t>
            </w:r>
          </w:p>
        </w:tc>
        <w:tc>
          <w:tcPr>
            <w:tcW w:w="1212" w:type="pct"/>
            <w:hideMark/>
          </w:tcPr>
          <w:p w14:paraId="5EAED789"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Concept Derived</w:t>
            </w:r>
          </w:p>
        </w:tc>
        <w:tc>
          <w:tcPr>
            <w:tcW w:w="1176" w:type="pct"/>
            <w:hideMark/>
          </w:tcPr>
          <w:p w14:paraId="748F872C"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Analytical Theme</w:t>
            </w:r>
          </w:p>
        </w:tc>
      </w:tr>
      <w:tr w:rsidR="00F073C0" w:rsidRPr="008819FD" w14:paraId="012FA0A2" w14:textId="77777777" w:rsidTr="008B409F">
        <w:tc>
          <w:tcPr>
            <w:tcW w:w="721" w:type="pct"/>
            <w:hideMark/>
          </w:tcPr>
          <w:p w14:paraId="0AA8E20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INT-02</w:t>
            </w:r>
          </w:p>
        </w:tc>
        <w:tc>
          <w:tcPr>
            <w:tcW w:w="1891" w:type="pct"/>
            <w:hideMark/>
          </w:tcPr>
          <w:p w14:paraId="0BF3971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“Not all participants have equal access to reliable virtual , secure platforms, or technical support …”</w:t>
            </w:r>
          </w:p>
        </w:tc>
        <w:tc>
          <w:tcPr>
            <w:tcW w:w="1212" w:type="pct"/>
            <w:hideMark/>
          </w:tcPr>
          <w:p w14:paraId="1AF8D6FB"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Unequal access to technology</w:t>
            </w:r>
          </w:p>
        </w:tc>
        <w:tc>
          <w:tcPr>
            <w:tcW w:w="1176" w:type="pct"/>
            <w:hideMark/>
          </w:tcPr>
          <w:p w14:paraId="575C0B7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Technological infrastructure challenges</w:t>
            </w:r>
          </w:p>
        </w:tc>
      </w:tr>
      <w:tr w:rsidR="00F073C0" w:rsidRPr="008819FD" w14:paraId="3C418E64" w14:textId="77777777" w:rsidTr="008B409F">
        <w:tc>
          <w:tcPr>
            <w:tcW w:w="721" w:type="pct"/>
            <w:hideMark/>
          </w:tcPr>
          <w:p w14:paraId="1B320B4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INT-09</w:t>
            </w:r>
          </w:p>
        </w:tc>
        <w:tc>
          <w:tcPr>
            <w:tcW w:w="1891" w:type="pct"/>
            <w:hideMark/>
          </w:tcPr>
          <w:p w14:paraId="69E7142E"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“There are concerns about data leaks during virtual hearings or electronic evidence submission …”</w:t>
            </w:r>
          </w:p>
        </w:tc>
        <w:tc>
          <w:tcPr>
            <w:tcW w:w="1212" w:type="pct"/>
            <w:hideMark/>
          </w:tcPr>
          <w:p w14:paraId="60FE244E"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Vulnerability to data breaches</w:t>
            </w:r>
          </w:p>
        </w:tc>
        <w:tc>
          <w:tcPr>
            <w:tcW w:w="1176" w:type="pct"/>
            <w:hideMark/>
          </w:tcPr>
          <w:p w14:paraId="10C3A299"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Cybersecurity and confidentiality risks</w:t>
            </w:r>
          </w:p>
        </w:tc>
      </w:tr>
      <w:tr w:rsidR="00F073C0" w:rsidRPr="008819FD" w14:paraId="269B53C1" w14:textId="77777777" w:rsidTr="008B409F">
        <w:tc>
          <w:tcPr>
            <w:tcW w:w="721" w:type="pct"/>
            <w:hideMark/>
          </w:tcPr>
          <w:p w14:paraId="3A005EC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INT-14</w:t>
            </w:r>
          </w:p>
        </w:tc>
        <w:tc>
          <w:tcPr>
            <w:tcW w:w="1891" w:type="pct"/>
            <w:hideMark/>
          </w:tcPr>
          <w:p w14:paraId="3B3FF67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“It is often difficult to authenticate electronic documents and digital signatures …”</w:t>
            </w:r>
          </w:p>
        </w:tc>
        <w:tc>
          <w:tcPr>
            <w:tcW w:w="1212" w:type="pct"/>
            <w:hideMark/>
          </w:tcPr>
          <w:p w14:paraId="1FDE2F36"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Difficulty in authenticating digital evidence</w:t>
            </w:r>
          </w:p>
        </w:tc>
        <w:tc>
          <w:tcPr>
            <w:tcW w:w="1176" w:type="pct"/>
            <w:hideMark/>
          </w:tcPr>
          <w:p w14:paraId="29C5DC2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Evidentiary challenges</w:t>
            </w:r>
          </w:p>
        </w:tc>
      </w:tr>
      <w:tr w:rsidR="00F073C0" w:rsidRPr="008819FD" w14:paraId="06F5B494" w14:textId="77777777" w:rsidTr="008B409F">
        <w:tc>
          <w:tcPr>
            <w:tcW w:w="721" w:type="pct"/>
            <w:hideMark/>
          </w:tcPr>
          <w:p w14:paraId="2FE8E49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lastRenderedPageBreak/>
              <w:t>INT-03</w:t>
            </w:r>
          </w:p>
        </w:tc>
        <w:tc>
          <w:tcPr>
            <w:tcW w:w="1891" w:type="pct"/>
            <w:hideMark/>
          </w:tcPr>
          <w:p w14:paraId="14952CC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“Larger corporations can afford advanced digital tools, while smaller businesses struggle …”</w:t>
            </w:r>
          </w:p>
        </w:tc>
        <w:tc>
          <w:tcPr>
            <w:tcW w:w="1212" w:type="pct"/>
            <w:hideMark/>
          </w:tcPr>
          <w:p w14:paraId="39E468B3"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Resource inequality among parties</w:t>
            </w:r>
          </w:p>
        </w:tc>
        <w:tc>
          <w:tcPr>
            <w:tcW w:w="1176" w:type="pct"/>
            <w:hideMark/>
          </w:tcPr>
          <w:p w14:paraId="0A9165A9"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Procedural imbalance</w:t>
            </w:r>
          </w:p>
        </w:tc>
      </w:tr>
      <w:tr w:rsidR="00F073C0" w:rsidRPr="008819FD" w14:paraId="68DD7291" w14:textId="77777777" w:rsidTr="008B409F">
        <w:tc>
          <w:tcPr>
            <w:tcW w:w="721" w:type="pct"/>
            <w:hideMark/>
          </w:tcPr>
          <w:p w14:paraId="1B1D3D6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INT-12</w:t>
            </w:r>
          </w:p>
        </w:tc>
        <w:tc>
          <w:tcPr>
            <w:tcW w:w="1891" w:type="pct"/>
            <w:hideMark/>
          </w:tcPr>
          <w:p w14:paraId="4BC85AC6"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“Many arbitrators are not sufficiently trained in digital hearings …”</w:t>
            </w:r>
          </w:p>
        </w:tc>
        <w:tc>
          <w:tcPr>
            <w:tcW w:w="1212" w:type="pct"/>
            <w:hideMark/>
          </w:tcPr>
          <w:p w14:paraId="604F4208"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Limited digital literacy of arbitrators</w:t>
            </w:r>
          </w:p>
        </w:tc>
        <w:tc>
          <w:tcPr>
            <w:tcW w:w="1176" w:type="pct"/>
            <w:hideMark/>
          </w:tcPr>
          <w:p w14:paraId="5BA5208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Human capacity and adaptability issues</w:t>
            </w:r>
          </w:p>
        </w:tc>
      </w:tr>
    </w:tbl>
    <w:p w14:paraId="1281263B"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p>
    <w:p w14:paraId="7FA45B14" w14:textId="77777777" w:rsidR="00F073C0" w:rsidRPr="008819FD" w:rsidRDefault="00817F41" w:rsidP="009F5ACD">
      <w:pPr>
        <w:pStyle w:val="Heading3"/>
        <w:rPr>
          <w:rFonts w:asciiTheme="majorBidi" w:hAnsiTheme="majorBidi" w:cstheme="majorBidi"/>
        </w:rPr>
      </w:pPr>
      <w:bookmarkStart w:id="339" w:name="_Toc221804581"/>
      <w:r>
        <w:rPr>
          <w:rFonts w:asciiTheme="majorBidi" w:eastAsia="Times New Roman" w:hAnsiTheme="majorBidi" w:cstheme="majorBidi"/>
        </w:rPr>
        <w:t xml:space="preserve">6.2.6 </w:t>
      </w:r>
      <w:r>
        <w:rPr>
          <w:rFonts w:asciiTheme="majorBidi" w:hAnsiTheme="majorBidi" w:cstheme="majorBidi"/>
        </w:rPr>
        <w:t>Q5: How effective are the currently used digital platforms in managing online commercial arbitration proceedings?</w:t>
      </w:r>
      <w:bookmarkEnd w:id="339"/>
    </w:p>
    <w:p w14:paraId="5F471090"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The fifth interview question examined expert assessments of the effectiveness of digital platforms currently used to manage online commercial arbitration proceedings in the UAE. Given that digital platforms underpin virtual hearings, electronic document exchange, evidence management, and procedural coordination, their performance is central to the legitimacy, efficiency, and security of online arbitration. This question directly informs the main research question—whether government regulation is required to support effective online arbitration—and contributes to the sub-questions by highlighting operational strengths and weaknesses affecting confidentiality, data protection, and procedural fairness.</w:t>
      </w:r>
    </w:p>
    <w:p w14:paraId="44535FB8" w14:textId="55E0C4BB" w:rsidR="00F073C0" w:rsidRPr="008819FD" w:rsidRDefault="00F073C0" w:rsidP="000851F5">
      <w:pPr>
        <w:spacing w:line="480" w:lineRule="auto"/>
        <w:ind w:firstLine="720"/>
        <w:rPr>
          <w:rFonts w:asciiTheme="majorBidi" w:hAnsiTheme="majorBidi" w:cstheme="majorBidi"/>
        </w:rPr>
      </w:pPr>
      <w:r>
        <w:rPr>
          <w:rFonts w:asciiTheme="majorBidi" w:hAnsiTheme="majorBidi" w:cstheme="majorBidi"/>
        </w:rPr>
        <w:t xml:space="preserve">The interview findings reveal a divergence of expert views, although there is broad agreement that digital platforms have improved procedural efficiency while remaining imperfect. Several respondents acknowledged that leading UAE arbitral institutions—such as the Dubai International Arbitration Centre  and the </w:t>
      </w:r>
      <w:r w:rsidR="000851F5" w:rsidRPr="000851F5">
        <w:rPr>
          <w:rFonts w:asciiTheme="majorBidi" w:hAnsiTheme="majorBidi" w:cstheme="majorBidi"/>
        </w:rPr>
        <w:t xml:space="preserve"> </w:t>
      </w:r>
      <w:r w:rsidR="000851F5">
        <w:rPr>
          <w:rFonts w:asciiTheme="majorBidi" w:hAnsiTheme="majorBidi" w:cstheme="majorBidi"/>
        </w:rPr>
        <w:t xml:space="preserve">ADGM Dispute Resolution Hearing Centre </w:t>
      </w:r>
      <w:r>
        <w:rPr>
          <w:rFonts w:asciiTheme="majorBidi" w:hAnsiTheme="majorBidi" w:cstheme="majorBidi"/>
        </w:rPr>
        <w:t xml:space="preserve">have made significant progress in deploying functional digital systems. One arbitrator </w:t>
      </w:r>
      <w:r>
        <w:rPr>
          <w:rFonts w:asciiTheme="majorBidi" w:hAnsiTheme="majorBidi" w:cstheme="majorBidi"/>
        </w:rPr>
        <w:lastRenderedPageBreak/>
        <w:t>noted that “the digital platforms used by DIAC and ADGM are generally effective, particularly in enabling remote participation and document exchange” (Interview INT-07). Analytically, this finding suggests that institutional investment in technology has reduced logistical barriers and facilitated cross-border participation, aligning UAE practice with international arbitration trends.</w:t>
      </w:r>
    </w:p>
    <w:p w14:paraId="4D8BF5E7"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Despite these advances, respondents consistently identified technical reliability as a persistent challenge. One participant highlighted that “connectivity problems and occasional platform breakdowns during hearings reduce efficiency and create frustration for parties” (Interview INT-02). This observation reflects the practical reality that platform effectiveness depends not only on design but also on stable infrastructure and technical support. From an analytical standpoint, such disruptions can affect procedural smoothness and, in extreme cases, raise concerns about procedural fairness and equal participation.</w:t>
      </w:r>
    </w:p>
    <w:p w14:paraId="0D657384"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Security and confidentiality concerns were also frequently raised. A legal practitioner observed that “parties remain skeptical about the confidentiality of platforms; despite encryption assurances, there is no uniform standard across institutions” (Interview INT-12). This finding reinforces earlier insights from Q1–Q4, indicating that trust in online arbitration is closely linked to cybersecurity governance. Analytically, this suggests that the absence of harmonised, binding security standards undermines confidence in digital platforms, even where technological safeguards exist.</w:t>
      </w:r>
    </w:p>
    <w:p w14:paraId="080D4534"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 xml:space="preserve">Several participants adopted a comparative perspective, assessing UAE platforms against international benchmarks. One arbitrator remarked that “compared to platforms used in leading arbitral institutions abroad, UAE platforms are functional but not as advanced in terms of evidence management and real-time transcription” (Interview INT-10). This observation </w:t>
      </w:r>
      <w:r>
        <w:rPr>
          <w:rFonts w:asciiTheme="majorBidi" w:hAnsiTheme="majorBidi" w:cstheme="majorBidi"/>
        </w:rPr>
        <w:lastRenderedPageBreak/>
        <w:t>highlights gaps in sophistication that may affect the UAE’s competitiveness as a global arbitration hub. While platforms meet basic operational needs, their limited advanced functionality constrains their ability to fully support complex international disputes.</w:t>
      </w:r>
    </w:p>
    <w:p w14:paraId="0024A2DA"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A recurring theme across multiple interviews (INT-05, INT-09, INT-14) concerned usability and user competence. One academic participant commented that “the systems work, but they are not intuitive; many arbitrators and lawyers need training to use them effectively” (Interview INT-05). This insight underscores that technological effectiveness is inseparable from human capacity. Analytically, it reinforces the view that platform performance depends not only on software quality but also on institutional investment in training and digital literacy.</w:t>
      </w:r>
    </w:p>
    <w:p w14:paraId="18883933"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Linkage to Research Questions</w:t>
      </w:r>
    </w:p>
    <w:p w14:paraId="3D070F41" w14:textId="77777777" w:rsidR="00F073C0" w:rsidRPr="008819FD" w:rsidRDefault="00F073C0" w:rsidP="00F03B5A">
      <w:pPr>
        <w:spacing w:line="480" w:lineRule="auto"/>
        <w:ind w:firstLine="720"/>
        <w:rPr>
          <w:rFonts w:asciiTheme="majorBidi" w:hAnsiTheme="majorBidi" w:cstheme="majorBidi"/>
        </w:rPr>
      </w:pPr>
      <w:r>
        <w:rPr>
          <w:rFonts w:asciiTheme="majorBidi" w:hAnsiTheme="majorBidi" w:cstheme="majorBidi"/>
        </w:rPr>
        <w:t>Taken together, the findings indicate that digital platforms currently used in UAE arbitration are effective in principle but uneven in practice. They have enhanced accessibility and continuity of proceedings, particularly in cross-border cases, thereby partially addressing procedural challenges. However, persistent issues relating to technical reliability, cybersecurity assurance, usability, and international competitiveness limit their overall effectiveness.</w:t>
      </w:r>
    </w:p>
    <w:p w14:paraId="52E0FB86" w14:textId="77777777" w:rsidR="005C4C4E" w:rsidRPr="008819FD" w:rsidRDefault="00F073C0" w:rsidP="00F03B5A">
      <w:pPr>
        <w:spacing w:line="480" w:lineRule="auto"/>
        <w:ind w:firstLine="720"/>
        <w:rPr>
          <w:rFonts w:asciiTheme="majorBidi" w:hAnsiTheme="majorBidi" w:cstheme="majorBidi"/>
        </w:rPr>
      </w:pPr>
      <w:r>
        <w:rPr>
          <w:rFonts w:asciiTheme="majorBidi" w:hAnsiTheme="majorBidi" w:cstheme="majorBidi"/>
        </w:rPr>
        <w:t xml:space="preserve">In response to the main research question, the evidence suggests that platform effectiveness cannot be left solely to institutional discretion. While arbitral institutions have made commendable progress, the findings point to the need for regulatory guidance and standardization, particularly in relation to cybersecurity, data protection, and minimum technical standards. With respect to Sub-Questions 1 and 2, the results indicate that enhancing confidentiality and data protection requires harmonised security protocols and clearer regulatory oversight, while improving effectiveness necessitates institutional coordination, </w:t>
      </w:r>
      <w:r>
        <w:rPr>
          <w:rFonts w:asciiTheme="majorBidi" w:hAnsiTheme="majorBidi" w:cstheme="majorBidi"/>
        </w:rPr>
        <w:lastRenderedPageBreak/>
        <w:t>continuous technological upgrades, and mandatory training frameworks.</w:t>
      </w:r>
      <w:bookmarkStart w:id="340" w:name="_Toc219753441"/>
      <w:r>
        <w:rPr>
          <w:rFonts w:asciiTheme="majorBidi" w:eastAsia="Times New Roman" w:hAnsiTheme="majorBidi" w:cstheme="majorBidi"/>
        </w:rPr>
        <w:t xml:space="preserve"> </w:t>
      </w:r>
      <w:r>
        <w:rPr>
          <w:rFonts w:asciiTheme="majorBidi" w:hAnsiTheme="majorBidi" w:cstheme="majorBidi"/>
        </w:rPr>
        <w:t>As presented in Table 8, the existing data protection measures implemented in online arbitration are identified.</w:t>
      </w:r>
    </w:p>
    <w:p w14:paraId="1C1E179A" w14:textId="77777777" w:rsidR="004027D7" w:rsidRPr="008819FD" w:rsidRDefault="004027D7" w:rsidP="004027D7">
      <w:pPr>
        <w:spacing w:line="480" w:lineRule="auto"/>
        <w:ind w:firstLine="360"/>
        <w:rPr>
          <w:rFonts w:asciiTheme="majorBidi" w:hAnsiTheme="majorBidi" w:cstheme="majorBidi"/>
        </w:rPr>
      </w:pPr>
    </w:p>
    <w:p w14:paraId="497C3334" w14:textId="74A7DF23" w:rsidR="00F073C0" w:rsidRPr="008819FD" w:rsidRDefault="00F073C0" w:rsidP="00B7590C">
      <w:pPr>
        <w:spacing w:line="240" w:lineRule="auto"/>
        <w:rPr>
          <w:rFonts w:asciiTheme="majorBidi" w:hAnsiTheme="majorBidi" w:cstheme="majorBidi"/>
          <w:i/>
          <w:iCs/>
        </w:rPr>
      </w:pPr>
      <w:r>
        <w:rPr>
          <w:rFonts w:asciiTheme="majorBidi" w:hAnsiTheme="majorBidi" w:cstheme="majorBidi"/>
          <w:b/>
        </w:rPr>
        <w:t xml:space="preserve">Table </w:t>
      </w:r>
      <w:r>
        <w:rPr>
          <w:rFonts w:asciiTheme="majorBidi" w:hAnsiTheme="majorBidi" w:cstheme="majorBidi"/>
          <w:b/>
          <w:bCs/>
        </w:rPr>
        <w:fldChar w:fldCharType="begin"/>
      </w:r>
      <w:r>
        <w:rPr>
          <w:rFonts w:asciiTheme="majorBidi" w:hAnsiTheme="majorBidi" w:cstheme="majorBidi"/>
          <w:b/>
        </w:rPr>
        <w:instrText xml:space="preserve"> SEQ Table \* ARABIC </w:instrText>
      </w:r>
      <w:r>
        <w:rPr>
          <w:rFonts w:asciiTheme="majorBidi" w:hAnsiTheme="majorBidi" w:cstheme="majorBidi"/>
          <w:b/>
          <w:bCs/>
        </w:rPr>
        <w:fldChar w:fldCharType="separate"/>
      </w:r>
      <w:r w:rsidR="00B55114">
        <w:rPr>
          <w:rFonts w:asciiTheme="majorBidi" w:hAnsiTheme="majorBidi" w:cstheme="majorBidi"/>
          <w:b/>
          <w:noProof/>
        </w:rPr>
        <w:t>8</w:t>
      </w:r>
      <w:r>
        <w:rPr>
          <w:rFonts w:asciiTheme="majorBidi" w:hAnsiTheme="majorBidi" w:cstheme="majorBidi"/>
          <w:b/>
          <w:bCs/>
        </w:rPr>
        <w:fldChar w:fldCharType="end"/>
      </w:r>
      <w:r>
        <w:rPr>
          <w:rFonts w:asciiTheme="majorBidi" w:hAnsiTheme="majorBidi" w:cstheme="majorBidi"/>
          <w:b/>
        </w:rPr>
        <w:br/>
      </w:r>
      <w:bookmarkEnd w:id="340"/>
      <w:r>
        <w:rPr>
          <w:rFonts w:asciiTheme="majorBidi" w:hAnsiTheme="majorBidi" w:cstheme="majorBidi"/>
          <w:i/>
          <w:iCs/>
        </w:rPr>
        <w:t>Current Data Protection Measures Implemented in Online Arbitration</w:t>
      </w:r>
    </w:p>
    <w:tbl>
      <w:tblPr>
        <w:tblW w:w="5000" w:type="pct"/>
        <w:tblBorders>
          <w:top w:val="single" w:sz="4" w:space="0" w:color="auto"/>
          <w:bottom w:val="single" w:sz="4" w:space="0" w:color="auto"/>
        </w:tblBorders>
        <w:tblLook w:val="04A0" w:firstRow="1" w:lastRow="0" w:firstColumn="1" w:lastColumn="0" w:noHBand="0" w:noVBand="1"/>
      </w:tblPr>
      <w:tblGrid>
        <w:gridCol w:w="1318"/>
        <w:gridCol w:w="3211"/>
        <w:gridCol w:w="2423"/>
        <w:gridCol w:w="2169"/>
      </w:tblGrid>
      <w:tr w:rsidR="00F073C0" w:rsidRPr="008819FD" w14:paraId="3971AE08" w14:textId="77777777" w:rsidTr="008B409F">
        <w:tc>
          <w:tcPr>
            <w:tcW w:w="723" w:type="pct"/>
            <w:hideMark/>
          </w:tcPr>
          <w:p w14:paraId="3CC53DF0"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Interview Code</w:t>
            </w:r>
          </w:p>
        </w:tc>
        <w:tc>
          <w:tcPr>
            <w:tcW w:w="1760" w:type="pct"/>
            <w:hideMark/>
          </w:tcPr>
          <w:p w14:paraId="75E5F72D"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Evidence (Participant Quote)</w:t>
            </w:r>
          </w:p>
        </w:tc>
        <w:tc>
          <w:tcPr>
            <w:tcW w:w="1328" w:type="pct"/>
            <w:hideMark/>
          </w:tcPr>
          <w:p w14:paraId="12487522"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Concept Derived</w:t>
            </w:r>
          </w:p>
        </w:tc>
        <w:tc>
          <w:tcPr>
            <w:tcW w:w="1189" w:type="pct"/>
            <w:hideMark/>
          </w:tcPr>
          <w:p w14:paraId="00C24F87"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Analytical Theme</w:t>
            </w:r>
          </w:p>
        </w:tc>
      </w:tr>
      <w:tr w:rsidR="00F073C0" w:rsidRPr="008819FD" w14:paraId="3EE3BD88" w14:textId="77777777" w:rsidTr="008B409F">
        <w:tc>
          <w:tcPr>
            <w:tcW w:w="723" w:type="pct"/>
            <w:hideMark/>
          </w:tcPr>
          <w:p w14:paraId="592E4764"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INT-07</w:t>
            </w:r>
          </w:p>
        </w:tc>
        <w:tc>
          <w:tcPr>
            <w:tcW w:w="1760" w:type="pct"/>
            <w:hideMark/>
          </w:tcPr>
          <w:p w14:paraId="5F75AE8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“The digital platforms used by DIAC and ADGM are generally effective …”</w:t>
            </w:r>
          </w:p>
        </w:tc>
        <w:tc>
          <w:tcPr>
            <w:tcW w:w="1328" w:type="pct"/>
            <w:hideMark/>
          </w:tcPr>
          <w:p w14:paraId="40B46946"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Platforms are functional for remote participation</w:t>
            </w:r>
          </w:p>
        </w:tc>
        <w:tc>
          <w:tcPr>
            <w:tcW w:w="1189" w:type="pct"/>
            <w:hideMark/>
          </w:tcPr>
          <w:p w14:paraId="6437772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Increased efficiency</w:t>
            </w:r>
          </w:p>
        </w:tc>
      </w:tr>
      <w:tr w:rsidR="00F073C0" w:rsidRPr="008819FD" w14:paraId="648F1059" w14:textId="77777777" w:rsidTr="008B409F">
        <w:tc>
          <w:tcPr>
            <w:tcW w:w="723" w:type="pct"/>
            <w:hideMark/>
          </w:tcPr>
          <w:p w14:paraId="41EAEF7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INT-02</w:t>
            </w:r>
          </w:p>
        </w:tc>
        <w:tc>
          <w:tcPr>
            <w:tcW w:w="1760" w:type="pct"/>
            <w:hideMark/>
          </w:tcPr>
          <w:p w14:paraId="6CF24328"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“Connectivity problems and occasional platform breakdowns …”</w:t>
            </w:r>
          </w:p>
        </w:tc>
        <w:tc>
          <w:tcPr>
            <w:tcW w:w="1328" w:type="pct"/>
            <w:hideMark/>
          </w:tcPr>
          <w:p w14:paraId="250750F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Technical reliability issues</w:t>
            </w:r>
          </w:p>
        </w:tc>
        <w:tc>
          <w:tcPr>
            <w:tcW w:w="1189" w:type="pct"/>
            <w:hideMark/>
          </w:tcPr>
          <w:p w14:paraId="24B8E753"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Infrastructure weaknesses</w:t>
            </w:r>
          </w:p>
        </w:tc>
      </w:tr>
      <w:tr w:rsidR="00F073C0" w:rsidRPr="008819FD" w14:paraId="5828BF0D" w14:textId="77777777" w:rsidTr="008B409F">
        <w:tc>
          <w:tcPr>
            <w:tcW w:w="723" w:type="pct"/>
            <w:hideMark/>
          </w:tcPr>
          <w:p w14:paraId="5F73252F"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INT-12</w:t>
            </w:r>
          </w:p>
        </w:tc>
        <w:tc>
          <w:tcPr>
            <w:tcW w:w="1760" w:type="pct"/>
            <w:hideMark/>
          </w:tcPr>
          <w:p w14:paraId="5F6669C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“Parties remain skeptical about the confidentiality of platforms …”</w:t>
            </w:r>
          </w:p>
        </w:tc>
        <w:tc>
          <w:tcPr>
            <w:tcW w:w="1328" w:type="pct"/>
            <w:hideMark/>
          </w:tcPr>
          <w:p w14:paraId="76F48168"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Lack of trust in platform security</w:t>
            </w:r>
          </w:p>
        </w:tc>
        <w:tc>
          <w:tcPr>
            <w:tcW w:w="1189" w:type="pct"/>
            <w:hideMark/>
          </w:tcPr>
          <w:p w14:paraId="1D1560A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Cybersecurity concerns</w:t>
            </w:r>
          </w:p>
        </w:tc>
      </w:tr>
      <w:tr w:rsidR="00F073C0" w:rsidRPr="008819FD" w14:paraId="4334A2D3" w14:textId="77777777" w:rsidTr="008B409F">
        <w:tc>
          <w:tcPr>
            <w:tcW w:w="723" w:type="pct"/>
            <w:hideMark/>
          </w:tcPr>
          <w:p w14:paraId="2E364943"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INT-10</w:t>
            </w:r>
          </w:p>
        </w:tc>
        <w:tc>
          <w:tcPr>
            <w:tcW w:w="1760" w:type="pct"/>
            <w:hideMark/>
          </w:tcPr>
          <w:p w14:paraId="73A56C9F"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“Compared to platforms abroad, UAE platforms are functional but not as advanced …”</w:t>
            </w:r>
          </w:p>
        </w:tc>
        <w:tc>
          <w:tcPr>
            <w:tcW w:w="1328" w:type="pct"/>
            <w:hideMark/>
          </w:tcPr>
          <w:p w14:paraId="2C45156F"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Gaps in sophistication and competitiveness</w:t>
            </w:r>
          </w:p>
        </w:tc>
        <w:tc>
          <w:tcPr>
            <w:tcW w:w="1189" w:type="pct"/>
            <w:hideMark/>
          </w:tcPr>
          <w:p w14:paraId="71541EF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International benchmarking</w:t>
            </w:r>
          </w:p>
        </w:tc>
      </w:tr>
      <w:tr w:rsidR="00F073C0" w:rsidRPr="008819FD" w14:paraId="4AC1B3CB" w14:textId="77777777" w:rsidTr="008B409F">
        <w:tc>
          <w:tcPr>
            <w:tcW w:w="723" w:type="pct"/>
            <w:hideMark/>
          </w:tcPr>
          <w:p w14:paraId="5557626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lastRenderedPageBreak/>
              <w:t>INT-05</w:t>
            </w:r>
          </w:p>
        </w:tc>
        <w:tc>
          <w:tcPr>
            <w:tcW w:w="1760" w:type="pct"/>
            <w:hideMark/>
          </w:tcPr>
          <w:p w14:paraId="1465E208"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“The systems work, but they are not intuitive; many need training to use them effectively.”</w:t>
            </w:r>
          </w:p>
        </w:tc>
        <w:tc>
          <w:tcPr>
            <w:tcW w:w="1328" w:type="pct"/>
            <w:hideMark/>
          </w:tcPr>
          <w:p w14:paraId="239D08A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Lack of user-friendliness and training</w:t>
            </w:r>
          </w:p>
        </w:tc>
        <w:tc>
          <w:tcPr>
            <w:tcW w:w="1189" w:type="pct"/>
            <w:hideMark/>
          </w:tcPr>
          <w:p w14:paraId="5A60B30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Human factors in platform effectiveness</w:t>
            </w:r>
          </w:p>
        </w:tc>
      </w:tr>
      <w:tr w:rsidR="00F073C0" w:rsidRPr="008819FD" w14:paraId="5CABC0FC" w14:textId="77777777" w:rsidTr="008B409F">
        <w:tc>
          <w:tcPr>
            <w:tcW w:w="723" w:type="pct"/>
            <w:hideMark/>
          </w:tcPr>
          <w:p w14:paraId="041B43D3"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INT-09 / INT-14</w:t>
            </w:r>
          </w:p>
        </w:tc>
        <w:tc>
          <w:tcPr>
            <w:tcW w:w="1760" w:type="pct"/>
            <w:hideMark/>
          </w:tcPr>
          <w:p w14:paraId="2505974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General agreement on effectiveness with limitations</w:t>
            </w:r>
          </w:p>
        </w:tc>
        <w:tc>
          <w:tcPr>
            <w:tcW w:w="1328" w:type="pct"/>
            <w:hideMark/>
          </w:tcPr>
          <w:p w14:paraId="628A077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Shared perspectives on partial success</w:t>
            </w:r>
          </w:p>
        </w:tc>
        <w:tc>
          <w:tcPr>
            <w:tcW w:w="1189" w:type="pct"/>
            <w:hideMark/>
          </w:tcPr>
          <w:p w14:paraId="644C42CE"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Broad consensus on need for improvement</w:t>
            </w:r>
          </w:p>
        </w:tc>
      </w:tr>
    </w:tbl>
    <w:p w14:paraId="44176FD1" w14:textId="77777777" w:rsidR="00F073C0" w:rsidRPr="008819FD" w:rsidRDefault="00817F41" w:rsidP="009F5ACD">
      <w:pPr>
        <w:pStyle w:val="Heading3"/>
        <w:rPr>
          <w:rFonts w:asciiTheme="majorBidi" w:hAnsiTheme="majorBidi" w:cstheme="majorBidi"/>
        </w:rPr>
      </w:pPr>
      <w:bookmarkStart w:id="341" w:name="_Toc221804582"/>
      <w:r>
        <w:rPr>
          <w:rFonts w:asciiTheme="majorBidi" w:eastAsia="Times New Roman" w:hAnsiTheme="majorBidi" w:cstheme="majorBidi"/>
        </w:rPr>
        <w:t xml:space="preserve">6.2.7 </w:t>
      </w:r>
      <w:r>
        <w:rPr>
          <w:rFonts w:asciiTheme="majorBidi" w:hAnsiTheme="majorBidi" w:cstheme="majorBidi"/>
        </w:rPr>
        <w:t>Q6:What procedural reforms would you suggest to ensure flexibility and efficiency in online arbitration, particularly regarding the management of hearings and document exchange?</w:t>
      </w:r>
      <w:bookmarkEnd w:id="341"/>
    </w:p>
    <w:p w14:paraId="522990D2"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The sixth interview question sought expert recommendations on procedural reforms required to enhance flexibility and efficiency in online commercial arbitration in the UAE, particularly in relation to the management of virtual hearings and electronic document exchange. This question is forward-looking and solution-oriented, directly informing the main research question by identifying how regulatory and institutional reform could strengthen online arbitration. It also contributes to the sub-questions by clarifying how confidentiality, data protection, and procedural effectiveness may be improved through targeted reforms.</w:t>
      </w:r>
    </w:p>
    <w:p w14:paraId="1FA5B7B6"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The interview findings reveal a strong convergence of views around the need for procedural standardization combined with flexibility. Respondents consistently emphasised that efficiency in online arbitration cannot be achieved through technology alone, but requires clear procedural frameworks, institutional coordination, and enhanced human capacity.</w:t>
      </w:r>
    </w:p>
    <w:p w14:paraId="3385786A"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A recurring recommendation concerned the standardization of protocols for virtual hearings. One arbitrator stated that “arbitral institutions should establish standardised </w:t>
      </w:r>
      <w:r>
        <w:rPr>
          <w:rFonts w:asciiTheme="majorBidi" w:hAnsiTheme="majorBidi" w:cstheme="majorBidi"/>
        </w:rPr>
        <w:lastRenderedPageBreak/>
        <w:t>guidelines for online hearings, including procedures for verifying attendance, managing digital evidence, and ensuring confidentiality” (Interview INT-06). This recommendation reflects concern over fragmented practices currently driven by individual tribunals or party agreements. Analytically, this finding suggests that procedural certainty—through institution-wide protocols—can reduce disputes, enhance trust, and ensure consistency without undermining party autonomy. It directly addresses Sub-Question 2, highlighting how regulatory effectiveness may be enhanced through institutional rulemaking.</w:t>
      </w:r>
    </w:p>
    <w:p w14:paraId="2269564C"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Document exchange was identified as another area requiring reform. One participant recommended that “a centralized digital repository managed by the institution could prevent delays and duplication in document submission” (Interview INT-14). This insight reflects dissatisfaction with ad hoc document-exchange practices that rely heavily on email or external platforms. Analytically, the use of secure, institution-managed repositories would enhance efficiency while simultaneously strengthening confidentiality, data integrity, and evidentiary control—key concerns identified in earlier questions (Q1–Q5).</w:t>
      </w:r>
    </w:p>
    <w:p w14:paraId="3E2068A4"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Several respondents emphasised the human dimension of procedural reform, particularly the need for training and capacity-building. A legal practitioner noted that “procedural reforms must include training programs for arbitrators and counsel in managing virtual hearings effectively” (Interview INT-03). This finding reinforces the conclusion from Q4 and Q5 that procedural efficiency depends not only on rules and platforms, but also on the digital competence of users. Analytically, this supports the argument that procedural reform must be holistic, integrating legal, technical, and professional development measures.</w:t>
      </w:r>
    </w:p>
    <w:p w14:paraId="7C5B3CE8"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Flexibility in procedural timelines was also highlighted as an important reform area. One academic observed that “institutions should allow for more flexible deadlines in online </w:t>
      </w:r>
      <w:r>
        <w:rPr>
          <w:rFonts w:asciiTheme="majorBidi" w:hAnsiTheme="majorBidi" w:cstheme="majorBidi"/>
        </w:rPr>
        <w:lastRenderedPageBreak/>
        <w:t>arbitration, as digital hearings sometimes face technical disruptions that extend the process” (Interview INT-11). This recommendation reflects recognition that rigid procedural timelines may be ill-suited to digital environments prone to connectivity and technical challenges. The analysis here suggests that procedural efficiency should be understood as adaptive efficiency, balancing speed with fairness and procedural resilience.</w:t>
      </w:r>
    </w:p>
    <w:p w14:paraId="533C8E9C"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Finally, some respondents adopted an innovation-oriented perspective, advocating the integration of emerging technologies. One participant suggested that “artificial intelligence tools could be integrated into online arbitration to assist in document review and real-time transcription, reducing time and costs” (Interview INT-01). This view positions procedural reform not merely as corrective, but as transformative. Analytically, it indicates that future-proofing online arbitration requires openness to advanced technologies that can enhance accuracy, efficiency, and cost-effectiveness, provided that adequate safeguards are in place.</w:t>
      </w:r>
    </w:p>
    <w:p w14:paraId="5537DA1A"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Linkage to Research Questions</w:t>
      </w:r>
    </w:p>
    <w:p w14:paraId="5AB6F2B5"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Taken together, the findings demonstrate that procedural reform is a critical pillar in ensuring the effectiveness of online arbitration in the UAE. In response to the main research question, the evidence suggests that government and institutional intervention is necessary, not to over-regulate procedure, but to provide structured flexibility through standardised rules, secure digital infrastructure, and professional training.</w:t>
      </w:r>
    </w:p>
    <w:p w14:paraId="3789ECBC"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With respect to Sub-Question 1, the recommended reforms directly address confidentiality and data protection challenges through standardised hearing protocols, centralized document repositories, and secure evidence management systems. In relation to Sub-Question 2, the findings indicate that regulatory effectiveness can be enhanced by </w:t>
      </w:r>
      <w:r>
        <w:rPr>
          <w:rFonts w:asciiTheme="majorBidi" w:hAnsiTheme="majorBidi" w:cstheme="majorBidi"/>
        </w:rPr>
        <w:lastRenderedPageBreak/>
        <w:t>aligning institutional rules with technological realities and human capabilities, rather than relying solely on broad legislative principles.</w:t>
      </w:r>
    </w:p>
    <w:p w14:paraId="414BC01D" w14:textId="77777777" w:rsidR="005C4C4E" w:rsidRPr="008819FD" w:rsidRDefault="00F073C0" w:rsidP="00E77165">
      <w:pPr>
        <w:spacing w:line="480" w:lineRule="auto"/>
        <w:ind w:firstLine="720"/>
        <w:rPr>
          <w:rFonts w:asciiTheme="majorBidi" w:hAnsiTheme="majorBidi" w:cstheme="majorBidi"/>
        </w:rPr>
      </w:pPr>
      <w:r>
        <w:rPr>
          <w:rFonts w:asciiTheme="majorBidi" w:hAnsiTheme="majorBidi" w:cstheme="majorBidi"/>
        </w:rPr>
        <w:t>Overall, the expert recommendations highlight that flexibility and efficiency in online arbitration are not competing objectives, but complementary goals. By implementing standardised yet adaptable procedural reforms—supported by training and technological innovation—the UAE can strengthen confidence in online arbitration and reinforce its position as a progressive and reliable arbitration hub.</w:t>
      </w:r>
      <w:r>
        <w:rPr>
          <w:rFonts w:asciiTheme="majorBidi" w:eastAsia="Times New Roman" w:hAnsiTheme="majorBidi" w:cstheme="majorBidi"/>
        </w:rPr>
        <w:t xml:space="preserve"> </w:t>
      </w:r>
      <w:r>
        <w:rPr>
          <w:rFonts w:asciiTheme="majorBidi" w:hAnsiTheme="majorBidi" w:cstheme="majorBidi"/>
        </w:rPr>
        <w:t>Table 9 examines confidentiality safeguards within the UAE online arbitration framework.</w:t>
      </w:r>
    </w:p>
    <w:p w14:paraId="1215EDE2" w14:textId="77777777" w:rsidR="00F073C0" w:rsidRPr="008819FD" w:rsidRDefault="00F073C0" w:rsidP="00792217">
      <w:pPr>
        <w:spacing w:line="480" w:lineRule="auto"/>
        <w:ind w:firstLine="360"/>
        <w:rPr>
          <w:rFonts w:asciiTheme="majorBidi" w:hAnsiTheme="majorBidi" w:cstheme="majorBidi"/>
        </w:rPr>
      </w:pPr>
    </w:p>
    <w:p w14:paraId="6E53A64E" w14:textId="593B1C18" w:rsidR="00F073C0" w:rsidRPr="008819FD" w:rsidRDefault="00F073C0" w:rsidP="00CA2D0F">
      <w:pPr>
        <w:pStyle w:val="Caption"/>
        <w:rPr>
          <w:rFonts w:asciiTheme="majorBidi" w:eastAsia="Calibri" w:hAnsiTheme="majorBidi" w:cstheme="majorBidi"/>
          <w:color w:val="000000"/>
        </w:rPr>
      </w:pPr>
      <w:bookmarkStart w:id="342" w:name="_Toc219753442"/>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9</w:t>
      </w:r>
      <w:r>
        <w:rPr>
          <w:rFonts w:asciiTheme="majorBidi" w:hAnsiTheme="majorBidi" w:cstheme="majorBidi"/>
          <w:b/>
        </w:rPr>
        <w:fldChar w:fldCharType="end"/>
      </w:r>
      <w:r>
        <w:rPr>
          <w:rFonts w:asciiTheme="majorBidi" w:hAnsiTheme="majorBidi" w:cstheme="majorBidi"/>
        </w:rPr>
        <w:br/>
      </w:r>
      <w:bookmarkEnd w:id="342"/>
      <w:r>
        <w:rPr>
          <w:rFonts w:asciiTheme="majorBidi" w:hAnsiTheme="majorBidi" w:cstheme="majorBidi"/>
          <w:i/>
          <w:iCs/>
        </w:rPr>
        <w:t>Confidentiality Safeguards within the UAE Online Arbitration Framework</w:t>
      </w:r>
    </w:p>
    <w:tbl>
      <w:tblPr>
        <w:tblW w:w="5000" w:type="pct"/>
        <w:jc w:val="center"/>
        <w:tblBorders>
          <w:top w:val="single" w:sz="4" w:space="0" w:color="auto"/>
          <w:bottom w:val="single" w:sz="4" w:space="0" w:color="auto"/>
        </w:tblBorders>
        <w:tblLook w:val="04A0" w:firstRow="1" w:lastRow="0" w:firstColumn="1" w:lastColumn="0" w:noHBand="0" w:noVBand="1"/>
      </w:tblPr>
      <w:tblGrid>
        <w:gridCol w:w="1325"/>
        <w:gridCol w:w="3210"/>
        <w:gridCol w:w="2251"/>
        <w:gridCol w:w="2335"/>
      </w:tblGrid>
      <w:tr w:rsidR="00F073C0" w:rsidRPr="008819FD" w14:paraId="5B34FA8E" w14:textId="77777777" w:rsidTr="008B409F">
        <w:trPr>
          <w:jc w:val="center"/>
        </w:trPr>
        <w:tc>
          <w:tcPr>
            <w:tcW w:w="726" w:type="pct"/>
            <w:vAlign w:val="center"/>
            <w:hideMark/>
          </w:tcPr>
          <w:p w14:paraId="1A1FE8D0"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Interview Code</w:t>
            </w:r>
          </w:p>
        </w:tc>
        <w:tc>
          <w:tcPr>
            <w:tcW w:w="1759" w:type="pct"/>
            <w:vAlign w:val="center"/>
            <w:hideMark/>
          </w:tcPr>
          <w:p w14:paraId="55332B62"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Evidence (Participant Quote)</w:t>
            </w:r>
          </w:p>
        </w:tc>
        <w:tc>
          <w:tcPr>
            <w:tcW w:w="1234" w:type="pct"/>
            <w:vAlign w:val="center"/>
            <w:hideMark/>
          </w:tcPr>
          <w:p w14:paraId="271434CE"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Concept Derived</w:t>
            </w:r>
          </w:p>
        </w:tc>
        <w:tc>
          <w:tcPr>
            <w:tcW w:w="1280" w:type="pct"/>
            <w:vAlign w:val="center"/>
            <w:hideMark/>
          </w:tcPr>
          <w:p w14:paraId="4D3A9362"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Analytical Theme</w:t>
            </w:r>
          </w:p>
        </w:tc>
      </w:tr>
      <w:tr w:rsidR="00F073C0" w:rsidRPr="008819FD" w14:paraId="79ACD1FC" w14:textId="77777777" w:rsidTr="008B409F">
        <w:trPr>
          <w:jc w:val="center"/>
        </w:trPr>
        <w:tc>
          <w:tcPr>
            <w:tcW w:w="726" w:type="pct"/>
            <w:vAlign w:val="center"/>
            <w:hideMark/>
          </w:tcPr>
          <w:p w14:paraId="1A7CFF44"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INT-06</w:t>
            </w:r>
          </w:p>
        </w:tc>
        <w:tc>
          <w:tcPr>
            <w:tcW w:w="1759" w:type="pct"/>
            <w:vAlign w:val="center"/>
            <w:hideMark/>
          </w:tcPr>
          <w:p w14:paraId="485999D6"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“Arbitral institutions should establish standardised guidelines for online hearings …”</w:t>
            </w:r>
          </w:p>
        </w:tc>
        <w:tc>
          <w:tcPr>
            <w:tcW w:w="1234" w:type="pct"/>
            <w:vAlign w:val="center"/>
            <w:hideMark/>
          </w:tcPr>
          <w:p w14:paraId="306F812F"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Need for institutional protocols</w:t>
            </w:r>
          </w:p>
        </w:tc>
        <w:tc>
          <w:tcPr>
            <w:tcW w:w="1280" w:type="pct"/>
            <w:vAlign w:val="center"/>
            <w:hideMark/>
          </w:tcPr>
          <w:p w14:paraId="40BBA4C4"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Standardization of digital procedures</w:t>
            </w:r>
          </w:p>
        </w:tc>
      </w:tr>
      <w:tr w:rsidR="00F073C0" w:rsidRPr="008819FD" w14:paraId="2A0785E8" w14:textId="77777777" w:rsidTr="008B409F">
        <w:trPr>
          <w:jc w:val="center"/>
        </w:trPr>
        <w:tc>
          <w:tcPr>
            <w:tcW w:w="726" w:type="pct"/>
            <w:vAlign w:val="center"/>
            <w:hideMark/>
          </w:tcPr>
          <w:p w14:paraId="7600A82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INT-14</w:t>
            </w:r>
          </w:p>
        </w:tc>
        <w:tc>
          <w:tcPr>
            <w:tcW w:w="1759" w:type="pct"/>
            <w:vAlign w:val="center"/>
            <w:hideMark/>
          </w:tcPr>
          <w:p w14:paraId="123EF64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“A centralized digital repository managed by the institution could prevent delays …”</w:t>
            </w:r>
          </w:p>
        </w:tc>
        <w:tc>
          <w:tcPr>
            <w:tcW w:w="1234" w:type="pct"/>
            <w:vAlign w:val="center"/>
            <w:hideMark/>
          </w:tcPr>
          <w:p w14:paraId="147B8247"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Centralized platform for document exchange</w:t>
            </w:r>
          </w:p>
        </w:tc>
        <w:tc>
          <w:tcPr>
            <w:tcW w:w="1280" w:type="pct"/>
            <w:vAlign w:val="center"/>
            <w:hideMark/>
          </w:tcPr>
          <w:p w14:paraId="614187E7"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Efficiency in evidence management</w:t>
            </w:r>
          </w:p>
        </w:tc>
      </w:tr>
      <w:tr w:rsidR="00F073C0" w:rsidRPr="008819FD" w14:paraId="3B3FDEB8" w14:textId="77777777" w:rsidTr="008B409F">
        <w:trPr>
          <w:jc w:val="center"/>
        </w:trPr>
        <w:tc>
          <w:tcPr>
            <w:tcW w:w="726" w:type="pct"/>
            <w:vAlign w:val="center"/>
            <w:hideMark/>
          </w:tcPr>
          <w:p w14:paraId="7DA8D8B7"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lastRenderedPageBreak/>
              <w:t>INT-03</w:t>
            </w:r>
          </w:p>
        </w:tc>
        <w:tc>
          <w:tcPr>
            <w:tcW w:w="1759" w:type="pct"/>
            <w:vAlign w:val="center"/>
            <w:hideMark/>
          </w:tcPr>
          <w:p w14:paraId="518ED09A"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“Procedural reforms must include training programs for arbitrators and counsel …”</w:t>
            </w:r>
          </w:p>
        </w:tc>
        <w:tc>
          <w:tcPr>
            <w:tcW w:w="1234" w:type="pct"/>
            <w:vAlign w:val="center"/>
            <w:hideMark/>
          </w:tcPr>
          <w:p w14:paraId="6EE581FA"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Training and capacity-building</w:t>
            </w:r>
          </w:p>
        </w:tc>
        <w:tc>
          <w:tcPr>
            <w:tcW w:w="1280" w:type="pct"/>
            <w:vAlign w:val="center"/>
            <w:hideMark/>
          </w:tcPr>
          <w:p w14:paraId="75B85272"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Human factor in procedural reform</w:t>
            </w:r>
          </w:p>
        </w:tc>
      </w:tr>
      <w:tr w:rsidR="00F073C0" w:rsidRPr="008819FD" w14:paraId="5CEFB6C5" w14:textId="77777777" w:rsidTr="008B409F">
        <w:trPr>
          <w:jc w:val="center"/>
        </w:trPr>
        <w:tc>
          <w:tcPr>
            <w:tcW w:w="726" w:type="pct"/>
            <w:vAlign w:val="center"/>
            <w:hideMark/>
          </w:tcPr>
          <w:p w14:paraId="1C5003B3"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INT-11</w:t>
            </w:r>
          </w:p>
        </w:tc>
        <w:tc>
          <w:tcPr>
            <w:tcW w:w="1759" w:type="pct"/>
            <w:vAlign w:val="center"/>
            <w:hideMark/>
          </w:tcPr>
          <w:p w14:paraId="44AAAF1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“Institutions should allow for more flexible deadlines …”</w:t>
            </w:r>
          </w:p>
        </w:tc>
        <w:tc>
          <w:tcPr>
            <w:tcW w:w="1234" w:type="pct"/>
            <w:vAlign w:val="center"/>
            <w:hideMark/>
          </w:tcPr>
          <w:p w14:paraId="630CB124"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Adaptable timelines for digital processes</w:t>
            </w:r>
          </w:p>
        </w:tc>
        <w:tc>
          <w:tcPr>
            <w:tcW w:w="1280" w:type="pct"/>
            <w:vAlign w:val="center"/>
            <w:hideMark/>
          </w:tcPr>
          <w:p w14:paraId="78F4A876"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Flexibility in procedural rules</w:t>
            </w:r>
          </w:p>
        </w:tc>
      </w:tr>
      <w:tr w:rsidR="00F073C0" w:rsidRPr="008819FD" w14:paraId="338D2811" w14:textId="77777777" w:rsidTr="008B409F">
        <w:trPr>
          <w:jc w:val="center"/>
        </w:trPr>
        <w:tc>
          <w:tcPr>
            <w:tcW w:w="726" w:type="pct"/>
            <w:vAlign w:val="center"/>
            <w:hideMark/>
          </w:tcPr>
          <w:p w14:paraId="73437FC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INT-01</w:t>
            </w:r>
          </w:p>
        </w:tc>
        <w:tc>
          <w:tcPr>
            <w:tcW w:w="1759" w:type="pct"/>
            <w:vAlign w:val="center"/>
            <w:hideMark/>
          </w:tcPr>
          <w:p w14:paraId="7F8ACC5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“Artificial intelligence tools could be integrated …”</w:t>
            </w:r>
          </w:p>
        </w:tc>
        <w:tc>
          <w:tcPr>
            <w:tcW w:w="1234" w:type="pct"/>
            <w:vAlign w:val="center"/>
            <w:hideMark/>
          </w:tcPr>
          <w:p w14:paraId="0ACD082F"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Use of AI in document review and transcription</w:t>
            </w:r>
          </w:p>
        </w:tc>
        <w:tc>
          <w:tcPr>
            <w:tcW w:w="1280" w:type="pct"/>
            <w:vAlign w:val="center"/>
            <w:hideMark/>
          </w:tcPr>
          <w:p w14:paraId="76BFB4EF"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Innovation through emerging technologies</w:t>
            </w:r>
          </w:p>
        </w:tc>
      </w:tr>
    </w:tbl>
    <w:p w14:paraId="4946D5B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p>
    <w:p w14:paraId="3D828B07" w14:textId="77777777" w:rsidR="00F073C0" w:rsidRPr="008819FD" w:rsidRDefault="00817F41" w:rsidP="009F5ACD">
      <w:pPr>
        <w:pStyle w:val="Heading3"/>
        <w:rPr>
          <w:rFonts w:asciiTheme="majorBidi" w:eastAsia="Times New Roman" w:hAnsiTheme="majorBidi" w:cstheme="majorBidi"/>
        </w:rPr>
      </w:pPr>
      <w:bookmarkStart w:id="343" w:name="_Toc221804583"/>
      <w:r>
        <w:rPr>
          <w:rFonts w:asciiTheme="majorBidi" w:eastAsia="Times New Roman" w:hAnsiTheme="majorBidi" w:cstheme="majorBidi"/>
        </w:rPr>
        <w:t xml:space="preserve">6.2.8 </w:t>
      </w:r>
      <w:r>
        <w:rPr>
          <w:rFonts w:asciiTheme="majorBidi" w:hAnsiTheme="majorBidi" w:cstheme="majorBidi"/>
        </w:rPr>
        <w:t>Q7:Do you believe confidentiality and data protection are sufficiently safeguarded in online arbitration proceedings, especially with the use of remote communication technologies?</w:t>
      </w:r>
      <w:bookmarkEnd w:id="343"/>
    </w:p>
    <w:p w14:paraId="541C5D70"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The seventh interview question examined expert perceptions regarding whether confidentiality and data protection are sufficiently safeguarded in online commercial arbitration proceedings in the UAE, particularly with the use of remote communication technologies. This question lies at the core of the study, as confidentiality is a defining feature of arbitration and a key factor influencing party confidence. It directly addresses the main research question concerning the need for government regulation of online arbitration and contributes substantively to both sub-questions relating to confidentiality challenges and regulatory effectiveness.</w:t>
      </w:r>
    </w:p>
    <w:p w14:paraId="5F397FFB"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The interview findings reveal a qualified and cautious assessment. While some participants expressed confidence in existing technological and institutional safeguards, the </w:t>
      </w:r>
      <w:r>
        <w:rPr>
          <w:rFonts w:asciiTheme="majorBidi" w:hAnsiTheme="majorBidi" w:cstheme="majorBidi"/>
        </w:rPr>
        <w:lastRenderedPageBreak/>
        <w:t xml:space="preserve">prevailing view was that confidentiality and data protection in online arbitration are partially secured rather than fully guaranteed. Respondents consistently distinguished between </w:t>
      </w:r>
      <w:r>
        <w:rPr>
          <w:rFonts w:asciiTheme="majorBidi" w:hAnsiTheme="majorBidi" w:cstheme="majorBidi"/>
          <w:i/>
          <w:iCs/>
        </w:rPr>
        <w:t>technical protection</w:t>
      </w:r>
      <w:r>
        <w:rPr>
          <w:rFonts w:asciiTheme="majorBidi" w:hAnsiTheme="majorBidi" w:cstheme="majorBidi"/>
        </w:rPr>
        <w:t xml:space="preserve"> and </w:t>
      </w:r>
      <w:r>
        <w:rPr>
          <w:rFonts w:asciiTheme="majorBidi" w:hAnsiTheme="majorBidi" w:cstheme="majorBidi"/>
          <w:i/>
          <w:iCs/>
        </w:rPr>
        <w:t>legal certainty</w:t>
      </w:r>
      <w:r>
        <w:rPr>
          <w:rFonts w:asciiTheme="majorBidi" w:hAnsiTheme="majorBidi" w:cstheme="majorBidi"/>
        </w:rPr>
        <w:t>, emphasizing that the former does not necessarily compensate for gaps in the latter.</w:t>
      </w:r>
    </w:p>
    <w:p w14:paraId="3BEFA869" w14:textId="2AE8156C" w:rsidR="00F073C0" w:rsidRPr="008819FD" w:rsidRDefault="00F073C0" w:rsidP="000851F5">
      <w:pPr>
        <w:spacing w:line="480" w:lineRule="auto"/>
        <w:ind w:firstLine="720"/>
        <w:rPr>
          <w:rFonts w:asciiTheme="majorBidi" w:hAnsiTheme="majorBidi" w:cstheme="majorBidi"/>
        </w:rPr>
      </w:pPr>
      <w:r>
        <w:rPr>
          <w:rFonts w:asciiTheme="majorBidi" w:hAnsiTheme="majorBidi" w:cstheme="majorBidi"/>
        </w:rPr>
        <w:t>Some respondents expressed confidence in the technological safeguards adopted by major arbitral institutions. One arbitrator noted that “platforms used by major UAE centres are encrypted and provide sufficient confidentiality measures” (Interview INT-04). This perspective reflects trust in the technical infrastructure and internal protocols implemented by institutions such as the Dubai International Arbitration Centre  and the</w:t>
      </w:r>
      <w:r w:rsidR="000851F5">
        <w:rPr>
          <w:rFonts w:asciiTheme="majorBidi" w:hAnsiTheme="majorBidi" w:cstheme="majorBidi"/>
        </w:rPr>
        <w:t>ADGM Dispute Resolution Hearing Centre</w:t>
      </w:r>
      <w:r>
        <w:rPr>
          <w:rFonts w:asciiTheme="majorBidi" w:hAnsiTheme="majorBidi" w:cstheme="majorBidi"/>
        </w:rPr>
        <w:t>. Analytically, this suggests that encryption, access controls, and secure platforms provide a baseline level of protection that satisfies some practitioners from a practical standpoint.</w:t>
      </w:r>
    </w:p>
    <w:p w14:paraId="741C9105"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However, other participants highlighted regulatory and legal gaps that undermine confidence in these safeguards. One academic participant observed that “there is no comprehensive UAE law specifically addressing data protection in arbitration, which means institutions rely on internal guidelines that are not binding” (Interview INT-13). This finding directly informs Sub-Question 1, identifying a structural weakness at the intersection of arbitration and data protection law. The reliance on soft law and institutional discretion was viewed as insufficient to ensure consistent and enforceable confidentiality protections across the arbitration landscape.</w:t>
      </w:r>
    </w:p>
    <w:p w14:paraId="06F45499"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Cross-border risks were another major concern. A legal counsel noted that “when parties connect from different jurisdictions, the level of data protection depends on the weakest system in use” (Interview INT-08). This insight highlights a key vulnerability in </w:t>
      </w:r>
      <w:r>
        <w:rPr>
          <w:rFonts w:asciiTheme="majorBidi" w:hAnsiTheme="majorBidi" w:cstheme="majorBidi"/>
        </w:rPr>
        <w:lastRenderedPageBreak/>
        <w:t>international online arbitration, where proceedings are only as secure as their least protected participant. Analytically, this finding underscores the limitations of national regulatory frameworks in transnational digital environments and reinforces concerns about jurisdictional fragmentation and conflicts of law.</w:t>
      </w:r>
    </w:p>
    <w:p w14:paraId="665E14B9"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Concerns regarding enforcement and remedies were also raised. One respondent remarked that “even if the rules require confidentiality, breaches are difficult to detect and almost impossible to remedy once data has leaked” (Interview INT-02). This observation draws attention to the practical challenges of monitoring compliance and enforcing confidentiality obligations in digital settings. From an analytical perspective, this suggests that the existence of rules and technical safeguards does not equate to effective protection unless accompanied by robust monitoring, accountability, and remedial mechanisms.</w:t>
      </w:r>
    </w:p>
    <w:p w14:paraId="424DDE50"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A recurring theme across multiple interviews (INT-05, INT-10, INT-15) was the perceived need for stronger government-backed regulation. One academic participant stated that “confidentiality is partially protected, but without a government-backed regulatory framework, parties remain exposed to unnecessary risks” (Interview INT-05). This view reinforces findings from earlier questions (Q1–Q6), indicating that institutional initiatives alone are insufficient to provide comprehensive protection. Analytically, this supports the argument that confidentiality and data protection in online arbitration require a firmer statutory and regulatory foundation.</w:t>
      </w:r>
    </w:p>
    <w:p w14:paraId="40568C7D"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Linkage to Research Questions</w:t>
      </w:r>
    </w:p>
    <w:p w14:paraId="535860B0"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Taken together, the findings demonstrate that confidentiality and data protection in online arbitration proceedings in the UAE are supported by technological and institutional measures, but remain vulnerable due to regulatory gaps, cross-border inconsistencies, and </w:t>
      </w:r>
      <w:r>
        <w:rPr>
          <w:rFonts w:asciiTheme="majorBidi" w:hAnsiTheme="majorBidi" w:cstheme="majorBidi"/>
        </w:rPr>
        <w:lastRenderedPageBreak/>
        <w:t>enforcement limitations. In direct response to the main research question, the evidence indicates a clear need for government regulation to complement institutional practices and enhance legal certainty.</w:t>
      </w:r>
    </w:p>
    <w:p w14:paraId="00823282"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With respect to Sub-Question 1, the findings identify key challenges affecting confidentiality and data protection, including reliance on non-binding guidelines, jurisdictional fragmentation, and difficulties in detecting and remedying breaches. In relation to Sub-Question 2, the results suggest that regulatory effectiveness could be enhanced through clearer statutory guidance, binding cybersecurity and data protection standards, and stronger coordination between arbitral institutions and national regulatory authorities.</w:t>
      </w:r>
    </w:p>
    <w:p w14:paraId="1DD84E4A" w14:textId="77777777" w:rsidR="005C4C4E" w:rsidRPr="008819FD" w:rsidRDefault="00F073C0" w:rsidP="00E77165">
      <w:pPr>
        <w:spacing w:line="480" w:lineRule="auto"/>
        <w:ind w:firstLine="720"/>
        <w:rPr>
          <w:rFonts w:asciiTheme="majorBidi" w:hAnsiTheme="majorBidi" w:cstheme="majorBidi"/>
        </w:rPr>
      </w:pPr>
      <w:r>
        <w:rPr>
          <w:rFonts w:asciiTheme="majorBidi" w:hAnsiTheme="majorBidi" w:cstheme="majorBidi"/>
        </w:rPr>
        <w:t>Overall, the findings confirm that while progress has been made in safeguarding confidentiality in online arbitration, existing measures fall short of guaranteeing full protection. Achieving robust confidentiality and data security requires a coordinated approach combining institutional innovation, technological safeguards, user compliance, and stronger legislative and regulatory backing. Without such integration, confidence in online arbitration is likely to remain conditional, limiting its full potential within the UAE’s arbitration framework.</w:t>
      </w:r>
      <w:r>
        <w:rPr>
          <w:rFonts w:asciiTheme="majorBidi" w:eastAsia="Times New Roman" w:hAnsiTheme="majorBidi" w:cstheme="majorBidi"/>
        </w:rPr>
        <w:t xml:space="preserve"> </w:t>
      </w:r>
      <w:r>
        <w:rPr>
          <w:rFonts w:asciiTheme="majorBidi" w:hAnsiTheme="majorBidi" w:cstheme="majorBidi"/>
        </w:rPr>
        <w:t>As illustrated in Table 10, the functionality of the UAE online arbitration system is evaluated.</w:t>
      </w:r>
    </w:p>
    <w:p w14:paraId="0E40350B" w14:textId="77777777" w:rsidR="00F073C0" w:rsidRPr="008819FD" w:rsidRDefault="00F073C0" w:rsidP="00792217">
      <w:pPr>
        <w:spacing w:line="480" w:lineRule="auto"/>
        <w:ind w:firstLine="360"/>
        <w:rPr>
          <w:rFonts w:asciiTheme="majorBidi" w:hAnsiTheme="majorBidi" w:cstheme="majorBidi"/>
        </w:rPr>
      </w:pPr>
    </w:p>
    <w:p w14:paraId="503FA2E7" w14:textId="5BFE124C" w:rsidR="00F073C0" w:rsidRPr="008819FD" w:rsidRDefault="00F073C0" w:rsidP="00CA2D0F">
      <w:pPr>
        <w:pStyle w:val="Caption"/>
        <w:rPr>
          <w:rFonts w:asciiTheme="majorBidi" w:eastAsia="Calibri" w:hAnsiTheme="majorBidi" w:cstheme="majorBidi"/>
          <w:i/>
          <w:iCs/>
          <w:color w:val="000000"/>
        </w:rPr>
      </w:pPr>
      <w:bookmarkStart w:id="344" w:name="_Toc219753443"/>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10</w:t>
      </w:r>
      <w:r>
        <w:rPr>
          <w:rFonts w:asciiTheme="majorBidi" w:hAnsiTheme="majorBidi" w:cstheme="majorBidi"/>
          <w:b/>
        </w:rPr>
        <w:fldChar w:fldCharType="end"/>
      </w:r>
      <w:r>
        <w:rPr>
          <w:rFonts w:asciiTheme="majorBidi" w:hAnsiTheme="majorBidi" w:cstheme="majorBidi"/>
        </w:rPr>
        <w:br/>
      </w:r>
      <w:r>
        <w:rPr>
          <w:rFonts w:asciiTheme="majorBidi" w:hAnsiTheme="majorBidi" w:cstheme="majorBidi"/>
          <w:i/>
          <w:iCs/>
        </w:rPr>
        <w:t>Evidence and Concepts Related to Interview Question 7</w:t>
      </w:r>
      <w:bookmarkEnd w:id="344"/>
    </w:p>
    <w:tbl>
      <w:tblPr>
        <w:tblW w:w="5000" w:type="pct"/>
        <w:tblBorders>
          <w:top w:val="single" w:sz="4" w:space="0" w:color="auto"/>
          <w:bottom w:val="single" w:sz="4" w:space="0" w:color="auto"/>
        </w:tblBorders>
        <w:tblLook w:val="04A0" w:firstRow="1" w:lastRow="0" w:firstColumn="1" w:lastColumn="0" w:noHBand="0" w:noVBand="1"/>
      </w:tblPr>
      <w:tblGrid>
        <w:gridCol w:w="1532"/>
        <w:gridCol w:w="3296"/>
        <w:gridCol w:w="2246"/>
        <w:gridCol w:w="2047"/>
      </w:tblGrid>
      <w:tr w:rsidR="00F073C0" w:rsidRPr="008819FD" w14:paraId="2783621A" w14:textId="77777777" w:rsidTr="008B409F">
        <w:tc>
          <w:tcPr>
            <w:tcW w:w="840" w:type="pct"/>
            <w:vAlign w:val="center"/>
            <w:hideMark/>
          </w:tcPr>
          <w:p w14:paraId="34594715"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Interview Code</w:t>
            </w:r>
          </w:p>
        </w:tc>
        <w:tc>
          <w:tcPr>
            <w:tcW w:w="1807" w:type="pct"/>
            <w:vAlign w:val="center"/>
            <w:hideMark/>
          </w:tcPr>
          <w:p w14:paraId="6008B39D"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Evidence (Participant Quote)</w:t>
            </w:r>
          </w:p>
        </w:tc>
        <w:tc>
          <w:tcPr>
            <w:tcW w:w="1231" w:type="pct"/>
            <w:vAlign w:val="center"/>
            <w:hideMark/>
          </w:tcPr>
          <w:p w14:paraId="48DF76B6"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Concept Derived</w:t>
            </w:r>
          </w:p>
        </w:tc>
        <w:tc>
          <w:tcPr>
            <w:tcW w:w="1122" w:type="pct"/>
            <w:vAlign w:val="center"/>
            <w:hideMark/>
          </w:tcPr>
          <w:p w14:paraId="3FD9F471"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Analytical Theme</w:t>
            </w:r>
          </w:p>
        </w:tc>
      </w:tr>
      <w:tr w:rsidR="00F073C0" w:rsidRPr="008819FD" w14:paraId="11B7FB73" w14:textId="77777777" w:rsidTr="008B409F">
        <w:tc>
          <w:tcPr>
            <w:tcW w:w="840" w:type="pct"/>
            <w:vAlign w:val="center"/>
            <w:hideMark/>
          </w:tcPr>
          <w:p w14:paraId="76574B1F"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lastRenderedPageBreak/>
              <w:t>INT-04</w:t>
            </w:r>
          </w:p>
        </w:tc>
        <w:tc>
          <w:tcPr>
            <w:tcW w:w="1807" w:type="pct"/>
            <w:vAlign w:val="center"/>
            <w:hideMark/>
          </w:tcPr>
          <w:p w14:paraId="0DE9CFA3"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“Platforms used by major UAE arbitration centre s are encrypted …”</w:t>
            </w:r>
          </w:p>
        </w:tc>
        <w:tc>
          <w:tcPr>
            <w:tcW w:w="1231" w:type="pct"/>
            <w:vAlign w:val="center"/>
            <w:hideMark/>
          </w:tcPr>
          <w:p w14:paraId="5DCF5EEE"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Reliance on encryption and institutional safeguards</w:t>
            </w:r>
          </w:p>
        </w:tc>
        <w:tc>
          <w:tcPr>
            <w:tcW w:w="1122" w:type="pct"/>
            <w:vAlign w:val="center"/>
            <w:hideMark/>
          </w:tcPr>
          <w:p w14:paraId="7779AB92"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Confidence in institutional measures</w:t>
            </w:r>
          </w:p>
        </w:tc>
      </w:tr>
      <w:tr w:rsidR="00F073C0" w:rsidRPr="008819FD" w14:paraId="3A15D3C3" w14:textId="77777777" w:rsidTr="008B409F">
        <w:tc>
          <w:tcPr>
            <w:tcW w:w="840" w:type="pct"/>
            <w:vAlign w:val="center"/>
            <w:hideMark/>
          </w:tcPr>
          <w:p w14:paraId="5A36248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INT-13</w:t>
            </w:r>
          </w:p>
        </w:tc>
        <w:tc>
          <w:tcPr>
            <w:tcW w:w="1807" w:type="pct"/>
            <w:vAlign w:val="center"/>
            <w:hideMark/>
          </w:tcPr>
          <w:p w14:paraId="6A24EA6B"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“There is no comprehensive UAE law specifically addressing data protection …”</w:t>
            </w:r>
          </w:p>
        </w:tc>
        <w:tc>
          <w:tcPr>
            <w:tcW w:w="1231" w:type="pct"/>
            <w:vAlign w:val="center"/>
            <w:hideMark/>
          </w:tcPr>
          <w:p w14:paraId="254209BA"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Absence of a statutory framework</w:t>
            </w:r>
          </w:p>
        </w:tc>
        <w:tc>
          <w:tcPr>
            <w:tcW w:w="1122" w:type="pct"/>
            <w:vAlign w:val="center"/>
            <w:hideMark/>
          </w:tcPr>
          <w:p w14:paraId="717BEBE6"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Regulatory gaps</w:t>
            </w:r>
          </w:p>
        </w:tc>
      </w:tr>
      <w:tr w:rsidR="00F073C0" w:rsidRPr="008819FD" w14:paraId="7A59757F" w14:textId="77777777" w:rsidTr="008B409F">
        <w:tc>
          <w:tcPr>
            <w:tcW w:w="840" w:type="pct"/>
            <w:vAlign w:val="center"/>
            <w:hideMark/>
          </w:tcPr>
          <w:p w14:paraId="7269A76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INT-08</w:t>
            </w:r>
          </w:p>
        </w:tc>
        <w:tc>
          <w:tcPr>
            <w:tcW w:w="1807" w:type="pct"/>
            <w:vAlign w:val="center"/>
            <w:hideMark/>
          </w:tcPr>
          <w:p w14:paraId="5A47B97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“When parties connect from different jurisdictions …”</w:t>
            </w:r>
          </w:p>
        </w:tc>
        <w:tc>
          <w:tcPr>
            <w:tcW w:w="1231" w:type="pct"/>
            <w:vAlign w:val="center"/>
            <w:hideMark/>
          </w:tcPr>
          <w:p w14:paraId="0CA1DF53"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Unequal protection across jurisdictions</w:t>
            </w:r>
          </w:p>
        </w:tc>
        <w:tc>
          <w:tcPr>
            <w:tcW w:w="1122" w:type="pct"/>
            <w:vAlign w:val="center"/>
            <w:hideMark/>
          </w:tcPr>
          <w:p w14:paraId="39011A44"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Cross-border vulnerabilities</w:t>
            </w:r>
          </w:p>
        </w:tc>
      </w:tr>
      <w:tr w:rsidR="00F073C0" w:rsidRPr="008819FD" w14:paraId="3597C47C" w14:textId="77777777" w:rsidTr="008B409F">
        <w:tc>
          <w:tcPr>
            <w:tcW w:w="840" w:type="pct"/>
            <w:vAlign w:val="center"/>
            <w:hideMark/>
          </w:tcPr>
          <w:p w14:paraId="54FD7E53"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INT-02</w:t>
            </w:r>
          </w:p>
        </w:tc>
        <w:tc>
          <w:tcPr>
            <w:tcW w:w="1807" w:type="pct"/>
            <w:vAlign w:val="center"/>
            <w:hideMark/>
          </w:tcPr>
          <w:p w14:paraId="1BE4134A"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“Even if the rules require confidentiality, breaches are difficult to detect …”</w:t>
            </w:r>
          </w:p>
        </w:tc>
        <w:tc>
          <w:tcPr>
            <w:tcW w:w="1231" w:type="pct"/>
            <w:vAlign w:val="center"/>
            <w:hideMark/>
          </w:tcPr>
          <w:p w14:paraId="17C4CF42"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Difficulty in monitoring and enforcement</w:t>
            </w:r>
          </w:p>
        </w:tc>
        <w:tc>
          <w:tcPr>
            <w:tcW w:w="1122" w:type="pct"/>
            <w:vAlign w:val="center"/>
            <w:hideMark/>
          </w:tcPr>
          <w:p w14:paraId="744FD47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Limits of enforceability</w:t>
            </w:r>
          </w:p>
        </w:tc>
      </w:tr>
      <w:tr w:rsidR="00F073C0" w:rsidRPr="008819FD" w14:paraId="673F8224" w14:textId="77777777" w:rsidTr="008B409F">
        <w:tc>
          <w:tcPr>
            <w:tcW w:w="840" w:type="pct"/>
            <w:vAlign w:val="center"/>
            <w:hideMark/>
          </w:tcPr>
          <w:p w14:paraId="1A59934E"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INT-05 / INT-10 / INT-15</w:t>
            </w:r>
          </w:p>
        </w:tc>
        <w:tc>
          <w:tcPr>
            <w:tcW w:w="1807" w:type="pct"/>
            <w:vAlign w:val="center"/>
            <w:hideMark/>
          </w:tcPr>
          <w:p w14:paraId="7974CB09"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“Confidentiality is partially protected, but without government-backed regulation …”</w:t>
            </w:r>
          </w:p>
        </w:tc>
        <w:tc>
          <w:tcPr>
            <w:tcW w:w="1231" w:type="pct"/>
            <w:vAlign w:val="center"/>
            <w:hideMark/>
          </w:tcPr>
          <w:p w14:paraId="109DFED9"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Institutional safeguards are not sufficient alone</w:t>
            </w:r>
          </w:p>
        </w:tc>
        <w:tc>
          <w:tcPr>
            <w:tcW w:w="1122" w:type="pct"/>
            <w:vAlign w:val="center"/>
            <w:hideMark/>
          </w:tcPr>
          <w:p w14:paraId="184697F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Need for legislative intervention</w:t>
            </w:r>
          </w:p>
        </w:tc>
      </w:tr>
    </w:tbl>
    <w:p w14:paraId="0A708283" w14:textId="77777777" w:rsidR="00F073C0" w:rsidRPr="008819FD" w:rsidRDefault="00817F41" w:rsidP="009F5ACD">
      <w:pPr>
        <w:pStyle w:val="Heading3"/>
        <w:rPr>
          <w:rFonts w:asciiTheme="majorBidi" w:eastAsia="Times New Roman" w:hAnsiTheme="majorBidi" w:cstheme="majorBidi"/>
        </w:rPr>
      </w:pPr>
      <w:bookmarkStart w:id="345" w:name="_Toc221804584"/>
      <w:r>
        <w:rPr>
          <w:rFonts w:asciiTheme="majorBidi" w:eastAsia="Times New Roman" w:hAnsiTheme="majorBidi" w:cstheme="majorBidi"/>
        </w:rPr>
        <w:t xml:space="preserve">6.2.9 </w:t>
      </w:r>
      <w:r>
        <w:rPr>
          <w:rFonts w:asciiTheme="majorBidi" w:hAnsiTheme="majorBidi" w:cstheme="majorBidi"/>
        </w:rPr>
        <w:t>Q8:What are the main threats that could compromise the confidentiality of information during online commercial arbitration?</w:t>
      </w:r>
      <w:bookmarkEnd w:id="345"/>
    </w:p>
    <w:p w14:paraId="194B907E"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The eighth interview question examined the main threats that could compromise the confidentiality of information during online commercial arbitration proceedings. This question is central to the study, as confidentiality is a defining characteristic of arbitration and a primary justification for its selection over court litigation. The increasing reliance on digital </w:t>
      </w:r>
      <w:r>
        <w:rPr>
          <w:rFonts w:asciiTheme="majorBidi" w:hAnsiTheme="majorBidi" w:cstheme="majorBidi"/>
        </w:rPr>
        <w:lastRenderedPageBreak/>
        <w:t>hearings, electronic document exchange, and remote communication technologies has expanded the threat landscape, making confidentiality protection more complex and fragile. This question directly informs the main research question and contributes to both sub-questions by identifying concrete risks that undermine data protection and confidentiality in practice.</w:t>
      </w:r>
    </w:p>
    <w:p w14:paraId="02F2EE65"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The findings reveal that threats to confidentiality in online arbitration are multi-dimensional, extending beyond purely technological risks to include human, institutional, and legal vulnerabilities. While digitalization has enhanced accessibility and efficiency, it has also created new exposure points that are difficult to regulate and control.</w:t>
      </w:r>
    </w:p>
    <w:p w14:paraId="3CB04A25"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A frequently cited threat concerned cybersecurity attacks, particularly hacking and unauthorised access to arbitration platforms. One arbitrator stated that “the greatest threat remains hacking attempts, as arbitration platforms store commercially sensitive contracts and evidence that are highly attractive to attackers” (Interview INT-09). This finding highlights that online arbitration systems are high-value targets for cybercriminals, given the strategic and commercial importance of the data they contain. Analytically, this reinforces earlier findings (Q4–Q7) that technological safeguards alone are insufficient unless supported by continuous risk assessment, monitoring, and regulatory oversight.</w:t>
      </w:r>
    </w:p>
    <w:p w14:paraId="521942C9"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Human error was repeatedly identified as an equally significant source of confidentiality breaches. One participant explained that “most breaches are not due to technology but due to users sending documents to the wrong recipient or failing to use secure channels” (Interview INT-01). This insight underscores the role of user behavior as a critical vulnerability in online arbitration. From an analytical perspective, it demonstrates that even </w:t>
      </w:r>
      <w:r>
        <w:rPr>
          <w:rFonts w:asciiTheme="majorBidi" w:hAnsiTheme="majorBidi" w:cstheme="majorBidi"/>
        </w:rPr>
        <w:lastRenderedPageBreak/>
        <w:t>robust digital infrastructure can be undermined by negligence, lack of awareness, or insufficient training, directly affecting Sub-Question 1 on confidentiality challenges.</w:t>
      </w:r>
    </w:p>
    <w:p w14:paraId="2E240598"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The risk of third-party interference during remote hearings was also highlighted. A legal counsel noted that “remote hearings increase the risk of unauthorised individuals gaining access, especially if parties connect from unsecured locations” (Interview INT-15). This observation reflects the difficulty of controlling the physical environment of participants in virtual proceedings. Analytically, this finding illustrates how confidentiality risks extend beyond institutional platforms into private spaces, making enforcement and monitoring particularly challenging in online arbitration.</w:t>
      </w:r>
    </w:p>
    <w:p w14:paraId="36F75343"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Institutional disparities emerged as another major threat. One respondent observed that “not all UAE centres apply the same level of digital security; smaller centres remain vulnerable” (Interview INT-06). This highlights the lack of harmonization across arbitration institutions and suggests that confidentiality protection varies significantly depending on the administering body. From an analytical standpoint, this fragmentation undermines systemic trust in online arbitration and supports arguments made in earlier sections for standardised, binding cybersecurity and data protection requirements.</w:t>
      </w:r>
    </w:p>
    <w:p w14:paraId="49421046"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Cross-border legal inconsistencies were also identified as a critical risk factor. Several participants (e.g., INT-03, INT-12) noted that “when parties from multiple jurisdictions are involved, data protection depends on the weakest regulatory framework in play” (Interview INT-03). This finding is particularly significant for international arbitrations seated in the UAE, where participants operate under different legal and regulatory regimes. Analytically, this demonstrates the limitations of national legislation in addressing transnational </w:t>
      </w:r>
      <w:r>
        <w:rPr>
          <w:rFonts w:asciiTheme="majorBidi" w:hAnsiTheme="majorBidi" w:cstheme="majorBidi"/>
        </w:rPr>
        <w:lastRenderedPageBreak/>
        <w:t>confidentiality risks and reinforces the complexity of safeguarding data in global online arbitration.</w:t>
      </w:r>
    </w:p>
    <w:p w14:paraId="06772C98"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Linkage to Research Questions</w:t>
      </w:r>
    </w:p>
    <w:p w14:paraId="24F66A8F"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Taken together, the findings show that confidentiality in online arbitration is threatened by a combination of technological, human, institutional, and legal factors. In response to the main research question, the evidence strongly suggests that government regulation and coordinated oversight are necessary to mitigate these risks effectively. While institutional measures and technological tools provide a first line of defense, they are insufficient on their own to address the full spectrum of threats identified.</w:t>
      </w:r>
    </w:p>
    <w:p w14:paraId="1C62B14A"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With respect to Sub-Question 1, the findings identify key confidentiality risks, including cyberattacks, human error, third-party interference, and cross-border legal inconsistencies. Regarding Sub-Question 2, the results indicate that the effectiveness of the confidentiality and data protection framework could be enhanced through harmonised institutional standards, mandatory cybersecurity protocols, user training requirements, and clearer regulatory guidance for international proceedings.</w:t>
      </w:r>
    </w:p>
    <w:p w14:paraId="11382659" w14:textId="77777777" w:rsidR="005C4C4E" w:rsidRPr="008819FD" w:rsidRDefault="00F073C0" w:rsidP="00E77165">
      <w:pPr>
        <w:spacing w:line="480" w:lineRule="auto"/>
        <w:ind w:firstLine="720"/>
        <w:rPr>
          <w:rFonts w:asciiTheme="majorBidi" w:hAnsiTheme="majorBidi" w:cstheme="majorBidi"/>
        </w:rPr>
      </w:pPr>
      <w:r>
        <w:rPr>
          <w:rFonts w:asciiTheme="majorBidi" w:hAnsiTheme="majorBidi" w:cstheme="majorBidi"/>
        </w:rPr>
        <w:t>Overall, the findings confirm that threats to confidentiality in online commercial arbitration are systemic rather than isolated. Addressing these threats requires a comprehensive and coordinated approach, combining technological safeguards, institutional standardization, professional training, and stronger legislative and regulatory frameworks. Without such integration, confidentiality in online arbitration is likely to remain vulnerable, undermining party confidence and the long-term credibility of digital arbitration in the UAE.</w:t>
      </w:r>
      <w:r>
        <w:rPr>
          <w:rFonts w:asciiTheme="majorBidi" w:eastAsia="Times New Roman" w:hAnsiTheme="majorBidi" w:cstheme="majorBidi"/>
        </w:rPr>
        <w:t xml:space="preserve"> </w:t>
      </w:r>
      <w:r>
        <w:rPr>
          <w:rFonts w:asciiTheme="majorBidi" w:hAnsiTheme="majorBidi" w:cstheme="majorBidi"/>
        </w:rPr>
        <w:t>Table 11 outlines recent legislative developments affecting online arbitration practices in the UAE.</w:t>
      </w:r>
    </w:p>
    <w:p w14:paraId="3223DC3B" w14:textId="77777777" w:rsidR="00F073C0" w:rsidRPr="008819FD" w:rsidRDefault="00F073C0" w:rsidP="00792217">
      <w:pPr>
        <w:spacing w:line="480" w:lineRule="auto"/>
        <w:ind w:firstLine="360"/>
        <w:rPr>
          <w:rFonts w:asciiTheme="majorBidi" w:hAnsiTheme="majorBidi" w:cstheme="majorBidi"/>
        </w:rPr>
      </w:pPr>
    </w:p>
    <w:p w14:paraId="24C48A3E" w14:textId="7500E974" w:rsidR="00F073C0" w:rsidRPr="008819FD" w:rsidRDefault="00F073C0" w:rsidP="00CA2D0F">
      <w:pPr>
        <w:pStyle w:val="Caption"/>
        <w:rPr>
          <w:rFonts w:asciiTheme="majorBidi" w:eastAsia="Calibri" w:hAnsiTheme="majorBidi" w:cstheme="majorBidi"/>
          <w:i/>
          <w:iCs/>
          <w:color w:val="000000"/>
        </w:rPr>
      </w:pPr>
      <w:bookmarkStart w:id="346" w:name="_Toc219753444"/>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11</w:t>
      </w:r>
      <w:r>
        <w:rPr>
          <w:rFonts w:asciiTheme="majorBidi" w:hAnsiTheme="majorBidi" w:cstheme="majorBidi"/>
          <w:b/>
        </w:rPr>
        <w:fldChar w:fldCharType="end"/>
      </w:r>
      <w:r>
        <w:rPr>
          <w:rFonts w:asciiTheme="majorBidi" w:hAnsiTheme="majorBidi" w:cstheme="majorBidi"/>
        </w:rPr>
        <w:br/>
      </w:r>
      <w:bookmarkEnd w:id="346"/>
      <w:r>
        <w:rPr>
          <w:rFonts w:asciiTheme="majorBidi" w:hAnsiTheme="majorBidi" w:cstheme="majorBidi"/>
          <w:i/>
          <w:iCs/>
        </w:rPr>
        <w:t>Legislative Developments Influencing Online Arbitration Practices in the UAE</w:t>
      </w:r>
    </w:p>
    <w:tbl>
      <w:tblPr>
        <w:tblW w:w="5000" w:type="pct"/>
        <w:tblBorders>
          <w:top w:val="single" w:sz="4" w:space="0" w:color="auto"/>
          <w:bottom w:val="single" w:sz="4" w:space="0" w:color="auto"/>
        </w:tblBorders>
        <w:tblLook w:val="04A0" w:firstRow="1" w:lastRow="0" w:firstColumn="1" w:lastColumn="0" w:noHBand="0" w:noVBand="1"/>
      </w:tblPr>
      <w:tblGrid>
        <w:gridCol w:w="1313"/>
        <w:gridCol w:w="3696"/>
        <w:gridCol w:w="2087"/>
        <w:gridCol w:w="2025"/>
      </w:tblGrid>
      <w:tr w:rsidR="00F073C0" w:rsidRPr="008819FD" w14:paraId="20FE9493" w14:textId="77777777" w:rsidTr="00817F41">
        <w:tc>
          <w:tcPr>
            <w:tcW w:w="720" w:type="pct"/>
            <w:vAlign w:val="center"/>
            <w:hideMark/>
          </w:tcPr>
          <w:p w14:paraId="22F838F4"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lang w:bidi="ar-AE"/>
              </w:rPr>
            </w:pPr>
            <w:r>
              <w:rPr>
                <w:rFonts w:asciiTheme="majorBidi" w:eastAsia="Calibri" w:hAnsiTheme="majorBidi" w:cstheme="majorBidi"/>
                <w:b/>
                <w:color w:val="000000"/>
              </w:rPr>
              <w:t>Interview Code</w:t>
            </w:r>
          </w:p>
        </w:tc>
        <w:tc>
          <w:tcPr>
            <w:tcW w:w="2026" w:type="pct"/>
            <w:vAlign w:val="center"/>
            <w:hideMark/>
          </w:tcPr>
          <w:p w14:paraId="27ADA69C"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Evidence (Participant Quote)</w:t>
            </w:r>
          </w:p>
        </w:tc>
        <w:tc>
          <w:tcPr>
            <w:tcW w:w="1144" w:type="pct"/>
            <w:vAlign w:val="center"/>
            <w:hideMark/>
          </w:tcPr>
          <w:p w14:paraId="4BDD6A77"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Concept Derived</w:t>
            </w:r>
          </w:p>
        </w:tc>
        <w:tc>
          <w:tcPr>
            <w:tcW w:w="1110" w:type="pct"/>
            <w:vAlign w:val="center"/>
            <w:hideMark/>
          </w:tcPr>
          <w:p w14:paraId="084A2F20"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Analytical Theme</w:t>
            </w:r>
          </w:p>
        </w:tc>
      </w:tr>
      <w:tr w:rsidR="00F073C0" w:rsidRPr="008819FD" w14:paraId="192EEEFD" w14:textId="77777777" w:rsidTr="00817F41">
        <w:tc>
          <w:tcPr>
            <w:tcW w:w="720" w:type="pct"/>
            <w:vAlign w:val="center"/>
            <w:hideMark/>
          </w:tcPr>
          <w:p w14:paraId="61969CD9"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INT-09</w:t>
            </w:r>
          </w:p>
        </w:tc>
        <w:tc>
          <w:tcPr>
            <w:tcW w:w="2026" w:type="pct"/>
            <w:vAlign w:val="center"/>
            <w:hideMark/>
          </w:tcPr>
          <w:p w14:paraId="6A0C1BA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“The greatest threat remains hacking attempts …”</w:t>
            </w:r>
          </w:p>
        </w:tc>
        <w:tc>
          <w:tcPr>
            <w:tcW w:w="1144" w:type="pct"/>
            <w:vAlign w:val="center"/>
            <w:hideMark/>
          </w:tcPr>
          <w:p w14:paraId="6D8EBCC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Cyberattacks targeting sensitive data</w:t>
            </w:r>
          </w:p>
        </w:tc>
        <w:tc>
          <w:tcPr>
            <w:tcW w:w="1110" w:type="pct"/>
            <w:vAlign w:val="center"/>
            <w:hideMark/>
          </w:tcPr>
          <w:p w14:paraId="17EDCF1B"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Cybersecurity vulnerabilities</w:t>
            </w:r>
          </w:p>
        </w:tc>
      </w:tr>
      <w:tr w:rsidR="00F073C0" w:rsidRPr="008819FD" w14:paraId="6CCA75B4" w14:textId="77777777" w:rsidTr="00817F41">
        <w:tc>
          <w:tcPr>
            <w:tcW w:w="720" w:type="pct"/>
            <w:vAlign w:val="center"/>
            <w:hideMark/>
          </w:tcPr>
          <w:p w14:paraId="389331E2"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INT-01</w:t>
            </w:r>
          </w:p>
        </w:tc>
        <w:tc>
          <w:tcPr>
            <w:tcW w:w="2026" w:type="pct"/>
            <w:vAlign w:val="center"/>
            <w:hideMark/>
          </w:tcPr>
          <w:p w14:paraId="01ED7A0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“Most breaches are not due to technology but due to users sending documents to the wrong recipient …”</w:t>
            </w:r>
          </w:p>
        </w:tc>
        <w:tc>
          <w:tcPr>
            <w:tcW w:w="1144" w:type="pct"/>
            <w:vAlign w:val="center"/>
            <w:hideMark/>
          </w:tcPr>
          <w:p w14:paraId="0E6E361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Human error and negligence</w:t>
            </w:r>
          </w:p>
        </w:tc>
        <w:tc>
          <w:tcPr>
            <w:tcW w:w="1110" w:type="pct"/>
            <w:vAlign w:val="center"/>
            <w:hideMark/>
          </w:tcPr>
          <w:p w14:paraId="351E771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User-based risks</w:t>
            </w:r>
          </w:p>
        </w:tc>
      </w:tr>
      <w:tr w:rsidR="00F073C0" w:rsidRPr="008819FD" w14:paraId="6106E5C9" w14:textId="77777777" w:rsidTr="00817F41">
        <w:tc>
          <w:tcPr>
            <w:tcW w:w="720" w:type="pct"/>
            <w:vAlign w:val="center"/>
            <w:hideMark/>
          </w:tcPr>
          <w:p w14:paraId="2E1272E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INT-15</w:t>
            </w:r>
          </w:p>
        </w:tc>
        <w:tc>
          <w:tcPr>
            <w:tcW w:w="2026" w:type="pct"/>
            <w:vAlign w:val="center"/>
            <w:hideMark/>
          </w:tcPr>
          <w:p w14:paraId="14CDD837"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“Remote hearings increase the risk of unauthorised individuals gaining access …”</w:t>
            </w:r>
          </w:p>
        </w:tc>
        <w:tc>
          <w:tcPr>
            <w:tcW w:w="1144" w:type="pct"/>
            <w:vAlign w:val="center"/>
            <w:hideMark/>
          </w:tcPr>
          <w:p w14:paraId="37EC6B7B"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Unauthorised access during hearings</w:t>
            </w:r>
          </w:p>
        </w:tc>
        <w:tc>
          <w:tcPr>
            <w:tcW w:w="1110" w:type="pct"/>
            <w:vAlign w:val="center"/>
            <w:hideMark/>
          </w:tcPr>
          <w:p w14:paraId="03E41BB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Third-party interference</w:t>
            </w:r>
          </w:p>
        </w:tc>
      </w:tr>
      <w:tr w:rsidR="00F073C0" w:rsidRPr="008819FD" w14:paraId="470A0BCC" w14:textId="77777777" w:rsidTr="00817F41">
        <w:tc>
          <w:tcPr>
            <w:tcW w:w="720" w:type="pct"/>
            <w:vAlign w:val="center"/>
            <w:hideMark/>
          </w:tcPr>
          <w:p w14:paraId="60AA285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INT-06</w:t>
            </w:r>
          </w:p>
        </w:tc>
        <w:tc>
          <w:tcPr>
            <w:tcW w:w="2026" w:type="pct"/>
            <w:vAlign w:val="center"/>
            <w:hideMark/>
          </w:tcPr>
          <w:p w14:paraId="7ADB312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“Not all UAE arbitration centre s apply the same level of digital security …”</w:t>
            </w:r>
          </w:p>
        </w:tc>
        <w:tc>
          <w:tcPr>
            <w:tcW w:w="1144" w:type="pct"/>
            <w:vAlign w:val="center"/>
            <w:hideMark/>
          </w:tcPr>
          <w:p w14:paraId="45FA90CB"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Uneven institutional safeguards</w:t>
            </w:r>
          </w:p>
        </w:tc>
        <w:tc>
          <w:tcPr>
            <w:tcW w:w="1110" w:type="pct"/>
            <w:vAlign w:val="center"/>
            <w:hideMark/>
          </w:tcPr>
          <w:p w14:paraId="3891A8EB"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Institutional weaknesses</w:t>
            </w:r>
          </w:p>
        </w:tc>
      </w:tr>
      <w:tr w:rsidR="00F073C0" w:rsidRPr="008819FD" w14:paraId="456C2BBE" w14:textId="77777777" w:rsidTr="00817F41">
        <w:tc>
          <w:tcPr>
            <w:tcW w:w="720" w:type="pct"/>
            <w:vAlign w:val="center"/>
            <w:hideMark/>
          </w:tcPr>
          <w:p w14:paraId="6773757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INT-03 / INT-12</w:t>
            </w:r>
          </w:p>
        </w:tc>
        <w:tc>
          <w:tcPr>
            <w:tcW w:w="2026" w:type="pct"/>
            <w:vAlign w:val="center"/>
            <w:hideMark/>
          </w:tcPr>
          <w:p w14:paraId="536D2BD8"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“When parties from multiple jurisdictions are involved, data protection depends on the weakest regulatory framework …”</w:t>
            </w:r>
          </w:p>
        </w:tc>
        <w:tc>
          <w:tcPr>
            <w:tcW w:w="1144" w:type="pct"/>
            <w:vAlign w:val="center"/>
            <w:hideMark/>
          </w:tcPr>
          <w:p w14:paraId="1E37D55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Lack of harmonised international standards</w:t>
            </w:r>
          </w:p>
        </w:tc>
        <w:tc>
          <w:tcPr>
            <w:tcW w:w="1110" w:type="pct"/>
            <w:vAlign w:val="center"/>
            <w:hideMark/>
          </w:tcPr>
          <w:p w14:paraId="5F0106BB"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Cross-border legal inconsistencies</w:t>
            </w:r>
          </w:p>
        </w:tc>
      </w:tr>
    </w:tbl>
    <w:p w14:paraId="61D702DF" w14:textId="77777777" w:rsidR="00F073C0" w:rsidRPr="008819FD" w:rsidRDefault="00817F41" w:rsidP="009F5ACD">
      <w:pPr>
        <w:pStyle w:val="Heading3"/>
        <w:rPr>
          <w:rFonts w:asciiTheme="majorBidi" w:eastAsia="Times New Roman" w:hAnsiTheme="majorBidi" w:cstheme="majorBidi"/>
        </w:rPr>
      </w:pPr>
      <w:bookmarkStart w:id="347" w:name="_Toc221804585"/>
      <w:r>
        <w:rPr>
          <w:rFonts w:asciiTheme="majorBidi" w:eastAsia="Times New Roman" w:hAnsiTheme="majorBidi" w:cstheme="majorBidi"/>
        </w:rPr>
        <w:lastRenderedPageBreak/>
        <w:t xml:space="preserve">6.2.10 </w:t>
      </w:r>
      <w:r>
        <w:rPr>
          <w:rFonts w:asciiTheme="majorBidi" w:hAnsiTheme="majorBidi" w:cstheme="majorBidi"/>
        </w:rPr>
        <w:t>Q9:What legal and technical measures can be adopted to ensure the confidentiality of data in online commercial arbitration proceedings?</w:t>
      </w:r>
      <w:bookmarkEnd w:id="347"/>
    </w:p>
    <w:p w14:paraId="1095FF9A"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The ninth interview question explored expert views on the legal and technical measures that can be adopted to ensure effective confidentiality and data protection in online commercial arbitration proceedings in the UAE. Given the highly sensitive nature of commercial disputes and the increasing reliance on digital platforms, this question is central to identifying practical solutions to the challenges identified in earlier sections. It directly addresses the main research question concerning the need for government regulation and contributes to both sub-questions by proposing mechanisms to strengthen confidentiality and regulatory effectiveness.</w:t>
      </w:r>
    </w:p>
    <w:p w14:paraId="657B8192"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The interview findings demonstrate strong consensus that confidentiality in online arbitration cannot be safeguarded through isolated measures. Instead, respondents emphasised the need for a multi-layered and integrated approach that combines statutory reform, institutional governance, advanced cybersecurity technologies, human capacity-building, and international alignment.</w:t>
      </w:r>
    </w:p>
    <w:p w14:paraId="4E26BAF2"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Several participants stressed the importance of binding statutory measures. One respondent argued that “there should be a comprehensive UAE data protection law specifically tailored to arbitration, requiring institutions to comply with minimum cybersecurity standards” (Interview INT-02). This view reflects dissatisfaction with the fragmented application of general data protection laws to arbitration and the reliance on non-binding institutional policies. Analytically, this finding reinforces Sub-Question 2, indicating that regulatory effectiveness could be enhanced through legislation that clearly defines confidentiality obligations, cybersecurity duties, and enforcement mechanisms applicable to all centres.</w:t>
      </w:r>
    </w:p>
    <w:p w14:paraId="3EDEA7E3"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lastRenderedPageBreak/>
        <w:t>In parallel, respondents highlighted the critical role of institutional harmonization and procedural reform. One participant noted that “centres must adopt standardised confidentiality protocols across the UAE, ensuring that all hearings, whether in Dubai, Abu Dhabi, or Sharjah, are governed by consistent rules” (Interview INT-08). This insight underscores that legislation alone is insufficient unless operationalized through clear institutional rules. Analytically, harmonised institutional protocols would reduce fragmentation, prevent forum shopping based on security standards, and strengthen user confidence in online arbitration.</w:t>
      </w:r>
    </w:p>
    <w:p w14:paraId="7EDB7E5C"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From a technical perspective, many participants emphasised the necessity of advanced cybersecurity safeguards. One arbitrator remarked that “end-to-end encryption, multi-factor authentication, and blockchain-based evidence storage must become mandatory for all online arbitration platforms” (Interview INT-14). This reflects recognition that modern cyber threats require equally sophisticated technological responses. Analytically, this finding suggests that technical safeguards should not be optional or discretionary but embedded as minimum standards across all platforms to ensure baseline protection.</w:t>
      </w:r>
    </w:p>
    <w:p w14:paraId="458B99E4"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The importance of human capacity and institutional monitoring was also repeatedly highlighted. One academic participant observed that “it is not enough to adopt advanced technologies; arbitrators, counsel, and staff must be trained in cybersecurity practices, and institutions should conduct regular audits” (Interview INT-11). This finding reinforces earlier insights (Q4–Q8) that human error and lack of awareness remain significant confidentiality risks. Analytically, it indicates that effective confidentiality protection depends on continuous training, compliance monitoring, and system audits alongside technological innovation.</w:t>
      </w:r>
    </w:p>
    <w:p w14:paraId="179B8D15"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Several respondents also stressed the international dimension of confidentiality protection, particularly in cross-border arbitration. One academic remarked that “the UAE </w:t>
      </w:r>
      <w:r>
        <w:rPr>
          <w:rFonts w:asciiTheme="majorBidi" w:hAnsiTheme="majorBidi" w:cstheme="majorBidi"/>
        </w:rPr>
        <w:lastRenderedPageBreak/>
        <w:t>should align its arbitration data protection standards with international frameworks such as the GDPR to ensure compatibility in cross-border disputes” (Interview INT-05). This comparative perspective reflects the transnational nature of arbitration and the need for regulatory compatibility to avoid conflicts of law and uneven protection. Analytically, alignment with international best practices would enhance both legal certainty and the UAE’s credibility as a global arbitration hub.</w:t>
      </w:r>
    </w:p>
    <w:p w14:paraId="45801C85"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Linkage to Research Questions</w:t>
      </w:r>
    </w:p>
    <w:p w14:paraId="5ED2F581"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Taken together, the findings provide a clear response to the main research question: ensuring confidentiality in online arbitration requires coordinated government regulation supported by institutional and technical measures. The evidence indicates that neither legal reform nor technological innovation alone is sufficient to safeguard sensitive data in digital arbitration environments.</w:t>
      </w:r>
    </w:p>
    <w:p w14:paraId="5E2131E0" w14:textId="77777777" w:rsidR="00F073C0" w:rsidRPr="008819FD" w:rsidRDefault="00F073C0" w:rsidP="00E77165">
      <w:pPr>
        <w:spacing w:line="480" w:lineRule="auto"/>
        <w:ind w:firstLine="720"/>
        <w:rPr>
          <w:rFonts w:asciiTheme="majorBidi" w:hAnsiTheme="majorBidi" w:cstheme="majorBidi"/>
        </w:rPr>
      </w:pPr>
      <w:r>
        <w:rPr>
          <w:rFonts w:asciiTheme="majorBidi" w:hAnsiTheme="majorBidi" w:cstheme="majorBidi"/>
        </w:rPr>
        <w:t>In relation to Sub-Question 1, the findings identify effective measures to address confidentiality and data protection challenges, including binding legislation, standardised institutional protocols, advanced cybersecurity tools, and user training. Regarding Sub-Question 2, the results demonstrate that regulatory effectiveness can be significantly enhanced through harmonization across institutions, mandatory technical standards, regular audits, and alignment with international frameworks.</w:t>
      </w:r>
    </w:p>
    <w:p w14:paraId="3A833A50" w14:textId="77777777" w:rsidR="005C4C4E" w:rsidRPr="008819FD" w:rsidRDefault="00F073C0" w:rsidP="00E77165">
      <w:pPr>
        <w:spacing w:line="480" w:lineRule="auto"/>
        <w:ind w:firstLine="720"/>
        <w:rPr>
          <w:rFonts w:asciiTheme="majorBidi" w:hAnsiTheme="majorBidi" w:cstheme="majorBidi"/>
        </w:rPr>
      </w:pPr>
      <w:r>
        <w:rPr>
          <w:rFonts w:asciiTheme="majorBidi" w:hAnsiTheme="majorBidi" w:cstheme="majorBidi"/>
        </w:rPr>
        <w:t xml:space="preserve">Overall, the findings confirm that confidentiality in online commercial arbitration must be approached as a systemic governance issue, rather than a purely technical or procedural concern. A holistic framework—integrating law, technology, institutions, human capacity, and international coordination—is essential to ensuring that online arbitration in the UAE remains </w:t>
      </w:r>
      <w:r>
        <w:rPr>
          <w:rFonts w:asciiTheme="majorBidi" w:hAnsiTheme="majorBidi" w:cstheme="majorBidi"/>
        </w:rPr>
        <w:lastRenderedPageBreak/>
        <w:t>secure, credible, and fit for purpose in an increasingly digital dispute resolution landscape.</w:t>
      </w:r>
      <w:r>
        <w:rPr>
          <w:rFonts w:asciiTheme="majorBidi" w:eastAsia="Times New Roman" w:hAnsiTheme="majorBidi" w:cstheme="majorBidi"/>
        </w:rPr>
        <w:t xml:space="preserve"> </w:t>
      </w:r>
      <w:r>
        <w:rPr>
          <w:rFonts w:asciiTheme="majorBidi" w:hAnsiTheme="majorBidi" w:cstheme="majorBidi"/>
        </w:rPr>
        <w:t>As presented in Table 12, the quantitative survey findings are summarised.</w:t>
      </w:r>
    </w:p>
    <w:p w14:paraId="5760E408" w14:textId="77777777" w:rsidR="00F073C0" w:rsidRPr="008819FD" w:rsidRDefault="00F073C0" w:rsidP="00C2531E">
      <w:pPr>
        <w:rPr>
          <w:rFonts w:asciiTheme="majorBidi" w:hAnsiTheme="majorBidi" w:cstheme="majorBidi"/>
        </w:rPr>
      </w:pPr>
    </w:p>
    <w:p w14:paraId="3B18DFFF" w14:textId="6C18E163" w:rsidR="00F073C0" w:rsidRPr="008819FD" w:rsidRDefault="00F073C0" w:rsidP="00CA2D0F">
      <w:pPr>
        <w:pStyle w:val="Caption"/>
        <w:rPr>
          <w:rFonts w:asciiTheme="majorBidi" w:eastAsia="Calibri" w:hAnsiTheme="majorBidi" w:cstheme="majorBidi"/>
          <w:i/>
          <w:iCs/>
          <w:color w:val="000000"/>
        </w:rPr>
      </w:pPr>
      <w:bookmarkStart w:id="348" w:name="_Toc219753445"/>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12</w:t>
      </w:r>
      <w:r>
        <w:rPr>
          <w:rFonts w:asciiTheme="majorBidi" w:hAnsiTheme="majorBidi" w:cstheme="majorBidi"/>
          <w:b/>
        </w:rPr>
        <w:fldChar w:fldCharType="end"/>
      </w:r>
      <w:r>
        <w:rPr>
          <w:rFonts w:asciiTheme="majorBidi" w:hAnsiTheme="majorBidi" w:cstheme="majorBidi"/>
        </w:rPr>
        <w:br/>
      </w:r>
      <w:bookmarkEnd w:id="348"/>
      <w:r>
        <w:rPr>
          <w:rFonts w:asciiTheme="majorBidi" w:hAnsiTheme="majorBidi" w:cstheme="majorBidi"/>
          <w:i/>
          <w:iCs/>
        </w:rPr>
        <w:t>Summary of Quantitative Survey Findings</w:t>
      </w:r>
    </w:p>
    <w:tbl>
      <w:tblPr>
        <w:tblW w:w="5000" w:type="pct"/>
        <w:tblBorders>
          <w:top w:val="single" w:sz="4" w:space="0" w:color="auto"/>
          <w:bottom w:val="single" w:sz="4" w:space="0" w:color="auto"/>
        </w:tblBorders>
        <w:tblLook w:val="04A0" w:firstRow="1" w:lastRow="0" w:firstColumn="1" w:lastColumn="0" w:noHBand="0" w:noVBand="1"/>
      </w:tblPr>
      <w:tblGrid>
        <w:gridCol w:w="1336"/>
        <w:gridCol w:w="3617"/>
        <w:gridCol w:w="2050"/>
        <w:gridCol w:w="2118"/>
      </w:tblGrid>
      <w:tr w:rsidR="00F073C0" w:rsidRPr="008819FD" w14:paraId="4543ACD7" w14:textId="77777777" w:rsidTr="008B409F">
        <w:tc>
          <w:tcPr>
            <w:tcW w:w="732" w:type="pct"/>
            <w:vAlign w:val="center"/>
            <w:hideMark/>
          </w:tcPr>
          <w:p w14:paraId="4456125A"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Interview Code</w:t>
            </w:r>
          </w:p>
        </w:tc>
        <w:tc>
          <w:tcPr>
            <w:tcW w:w="1983" w:type="pct"/>
            <w:vAlign w:val="center"/>
            <w:hideMark/>
          </w:tcPr>
          <w:p w14:paraId="350AE2EF"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Evidence (Participant Quote)</w:t>
            </w:r>
          </w:p>
        </w:tc>
        <w:tc>
          <w:tcPr>
            <w:tcW w:w="1124" w:type="pct"/>
            <w:vAlign w:val="center"/>
            <w:hideMark/>
          </w:tcPr>
          <w:p w14:paraId="7DB0B54D"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Concept Derived</w:t>
            </w:r>
          </w:p>
        </w:tc>
        <w:tc>
          <w:tcPr>
            <w:tcW w:w="1161" w:type="pct"/>
            <w:vAlign w:val="center"/>
            <w:hideMark/>
          </w:tcPr>
          <w:p w14:paraId="7F2839F0"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rPr>
            </w:pPr>
            <w:r>
              <w:rPr>
                <w:rFonts w:asciiTheme="majorBidi" w:eastAsia="Calibri" w:hAnsiTheme="majorBidi" w:cstheme="majorBidi"/>
                <w:b/>
                <w:color w:val="000000"/>
              </w:rPr>
              <w:t>Analytical Theme</w:t>
            </w:r>
          </w:p>
        </w:tc>
      </w:tr>
      <w:tr w:rsidR="00F073C0" w:rsidRPr="008819FD" w14:paraId="789A6663" w14:textId="77777777" w:rsidTr="008B409F">
        <w:tc>
          <w:tcPr>
            <w:tcW w:w="732" w:type="pct"/>
            <w:vAlign w:val="center"/>
            <w:hideMark/>
          </w:tcPr>
          <w:p w14:paraId="504A894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INT-02</w:t>
            </w:r>
          </w:p>
        </w:tc>
        <w:tc>
          <w:tcPr>
            <w:tcW w:w="1983" w:type="pct"/>
            <w:vAlign w:val="center"/>
            <w:hideMark/>
          </w:tcPr>
          <w:p w14:paraId="5682169A"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“There should be a comprehensive UAE data protection law …”</w:t>
            </w:r>
          </w:p>
        </w:tc>
        <w:tc>
          <w:tcPr>
            <w:tcW w:w="1124" w:type="pct"/>
            <w:vAlign w:val="center"/>
            <w:hideMark/>
          </w:tcPr>
          <w:p w14:paraId="57AA04A9"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Arbitration-specific statutory reform</w:t>
            </w:r>
          </w:p>
        </w:tc>
        <w:tc>
          <w:tcPr>
            <w:tcW w:w="1161" w:type="pct"/>
            <w:vAlign w:val="center"/>
            <w:hideMark/>
          </w:tcPr>
          <w:p w14:paraId="3081A4C2"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Legislative foundation</w:t>
            </w:r>
          </w:p>
        </w:tc>
      </w:tr>
      <w:tr w:rsidR="00F073C0" w:rsidRPr="008819FD" w14:paraId="6877CE70" w14:textId="77777777" w:rsidTr="008B409F">
        <w:tc>
          <w:tcPr>
            <w:tcW w:w="732" w:type="pct"/>
            <w:vAlign w:val="center"/>
            <w:hideMark/>
          </w:tcPr>
          <w:p w14:paraId="5656E1D8"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INT-08</w:t>
            </w:r>
          </w:p>
        </w:tc>
        <w:tc>
          <w:tcPr>
            <w:tcW w:w="1983" w:type="pct"/>
            <w:vAlign w:val="center"/>
            <w:hideMark/>
          </w:tcPr>
          <w:p w14:paraId="5E22FB4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“Arbitration centre s must adopt standardised confidentiality protocols …”</w:t>
            </w:r>
          </w:p>
        </w:tc>
        <w:tc>
          <w:tcPr>
            <w:tcW w:w="1124" w:type="pct"/>
            <w:vAlign w:val="center"/>
            <w:hideMark/>
          </w:tcPr>
          <w:p w14:paraId="7F0F9F0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Consistent institutional guidelines</w:t>
            </w:r>
          </w:p>
        </w:tc>
        <w:tc>
          <w:tcPr>
            <w:tcW w:w="1161" w:type="pct"/>
            <w:vAlign w:val="center"/>
            <w:hideMark/>
          </w:tcPr>
          <w:p w14:paraId="15549228"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Institutional harmonization</w:t>
            </w:r>
          </w:p>
        </w:tc>
      </w:tr>
      <w:tr w:rsidR="00F073C0" w:rsidRPr="008819FD" w14:paraId="5FE6C5D7" w14:textId="77777777" w:rsidTr="008B409F">
        <w:tc>
          <w:tcPr>
            <w:tcW w:w="732" w:type="pct"/>
            <w:vAlign w:val="center"/>
            <w:hideMark/>
          </w:tcPr>
          <w:p w14:paraId="57378A9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INT-14</w:t>
            </w:r>
          </w:p>
        </w:tc>
        <w:tc>
          <w:tcPr>
            <w:tcW w:w="1983" w:type="pct"/>
            <w:vAlign w:val="center"/>
            <w:hideMark/>
          </w:tcPr>
          <w:p w14:paraId="08CC658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“End-to-end encryption, multi-factor authentication, and blockchain … must become mandatory”</w:t>
            </w:r>
          </w:p>
        </w:tc>
        <w:tc>
          <w:tcPr>
            <w:tcW w:w="1124" w:type="pct"/>
            <w:vAlign w:val="center"/>
            <w:hideMark/>
          </w:tcPr>
          <w:p w14:paraId="24608986"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Advanced cybersecurity technologies</w:t>
            </w:r>
          </w:p>
        </w:tc>
        <w:tc>
          <w:tcPr>
            <w:tcW w:w="1161" w:type="pct"/>
            <w:vAlign w:val="center"/>
            <w:hideMark/>
          </w:tcPr>
          <w:p w14:paraId="26888F1B"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Technical innovation</w:t>
            </w:r>
          </w:p>
        </w:tc>
      </w:tr>
      <w:tr w:rsidR="00F073C0" w:rsidRPr="008819FD" w14:paraId="17BCD52C" w14:textId="77777777" w:rsidTr="008B409F">
        <w:tc>
          <w:tcPr>
            <w:tcW w:w="732" w:type="pct"/>
            <w:vAlign w:val="center"/>
            <w:hideMark/>
          </w:tcPr>
          <w:p w14:paraId="3340AA7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INT-11</w:t>
            </w:r>
          </w:p>
        </w:tc>
        <w:tc>
          <w:tcPr>
            <w:tcW w:w="1983" w:type="pct"/>
            <w:vAlign w:val="center"/>
            <w:hideMark/>
          </w:tcPr>
          <w:p w14:paraId="52D762A7"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“It is not enough to adopt advanced technologies; training and audits are essential.”</w:t>
            </w:r>
          </w:p>
        </w:tc>
        <w:tc>
          <w:tcPr>
            <w:tcW w:w="1124" w:type="pct"/>
            <w:vAlign w:val="center"/>
            <w:hideMark/>
          </w:tcPr>
          <w:p w14:paraId="2BF083F3"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Training and monitoring practices</w:t>
            </w:r>
          </w:p>
        </w:tc>
        <w:tc>
          <w:tcPr>
            <w:tcW w:w="1161" w:type="pct"/>
            <w:vAlign w:val="center"/>
            <w:hideMark/>
          </w:tcPr>
          <w:p w14:paraId="4502CE9A"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Human and organisational dimension</w:t>
            </w:r>
          </w:p>
        </w:tc>
      </w:tr>
      <w:tr w:rsidR="00F073C0" w:rsidRPr="008819FD" w14:paraId="2F2F7462" w14:textId="77777777" w:rsidTr="008B409F">
        <w:tc>
          <w:tcPr>
            <w:tcW w:w="732" w:type="pct"/>
            <w:vAlign w:val="center"/>
            <w:hideMark/>
          </w:tcPr>
          <w:p w14:paraId="424AA9B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lastRenderedPageBreak/>
              <w:t>INT-05 / INT-12</w:t>
            </w:r>
          </w:p>
        </w:tc>
        <w:tc>
          <w:tcPr>
            <w:tcW w:w="1983" w:type="pct"/>
            <w:vAlign w:val="center"/>
            <w:hideMark/>
          </w:tcPr>
          <w:p w14:paraId="455CA153"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i/>
                <w:iCs/>
                <w:color w:val="000000"/>
              </w:rPr>
              <w:t>“The UAE should align its arbitration data protection standards with GDPR …”</w:t>
            </w:r>
          </w:p>
        </w:tc>
        <w:tc>
          <w:tcPr>
            <w:tcW w:w="1124" w:type="pct"/>
            <w:vAlign w:val="center"/>
            <w:hideMark/>
          </w:tcPr>
          <w:p w14:paraId="0DA5C592"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Adoption of global best practices</w:t>
            </w:r>
          </w:p>
        </w:tc>
        <w:tc>
          <w:tcPr>
            <w:tcW w:w="1161" w:type="pct"/>
            <w:vAlign w:val="center"/>
            <w:hideMark/>
          </w:tcPr>
          <w:p w14:paraId="2B993267"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r>
              <w:rPr>
                <w:rFonts w:asciiTheme="majorBidi" w:eastAsia="Calibri" w:hAnsiTheme="majorBidi" w:cstheme="majorBidi"/>
                <w:color w:val="000000"/>
              </w:rPr>
              <w:t>International harmonization</w:t>
            </w:r>
          </w:p>
        </w:tc>
      </w:tr>
    </w:tbl>
    <w:p w14:paraId="4A909AB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rPr>
      </w:pPr>
    </w:p>
    <w:p w14:paraId="288BFA0E" w14:textId="77777777" w:rsidR="00F073C0" w:rsidRPr="008819FD" w:rsidRDefault="00817F41" w:rsidP="009F5ACD">
      <w:pPr>
        <w:pStyle w:val="Heading3"/>
        <w:rPr>
          <w:rFonts w:asciiTheme="majorBidi" w:eastAsia="Times New Roman" w:hAnsiTheme="majorBidi" w:cstheme="majorBidi"/>
        </w:rPr>
      </w:pPr>
      <w:bookmarkStart w:id="349" w:name="_Toc221804586"/>
      <w:r>
        <w:rPr>
          <w:rFonts w:asciiTheme="majorBidi" w:eastAsia="Times New Roman" w:hAnsiTheme="majorBidi" w:cstheme="majorBidi"/>
        </w:rPr>
        <w:t xml:space="preserve">6.2.11 </w:t>
      </w:r>
      <w:r>
        <w:rPr>
          <w:rFonts w:asciiTheme="majorBidi" w:hAnsiTheme="majorBidi" w:cstheme="majorBidi"/>
        </w:rPr>
        <w:t>Q10: How do you envision the future of online commercial arbitration in the UAE in light of rapid digital transformation? What role should legislation play in this context?</w:t>
      </w:r>
      <w:bookmarkEnd w:id="349"/>
    </w:p>
    <w:p w14:paraId="1D04BEEF"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The tenth interview question explored expert visions of the </w:t>
      </w:r>
      <w:r>
        <w:rPr>
          <w:rStyle w:val="Strong"/>
          <w:rFonts w:asciiTheme="majorBidi" w:eastAsiaTheme="majorEastAsia" w:hAnsiTheme="majorBidi" w:cstheme="majorBidi"/>
          <w:bCs w:val="0"/>
        </w:rPr>
        <w:t>future of online commercial arbitration in the UAE</w:t>
      </w:r>
      <w:r>
        <w:rPr>
          <w:rFonts w:asciiTheme="majorBidi" w:hAnsiTheme="majorBidi" w:cstheme="majorBidi"/>
        </w:rPr>
        <w:t xml:space="preserve"> in the context of rapid digital transformation, with particular emphasis on the </w:t>
      </w:r>
      <w:r>
        <w:rPr>
          <w:rStyle w:val="Strong"/>
          <w:rFonts w:asciiTheme="majorBidi" w:eastAsiaTheme="majorEastAsia" w:hAnsiTheme="majorBidi" w:cstheme="majorBidi"/>
          <w:bCs w:val="0"/>
        </w:rPr>
        <w:t>role of legislation</w:t>
      </w:r>
      <w:r>
        <w:rPr>
          <w:rFonts w:asciiTheme="majorBidi" w:hAnsiTheme="majorBidi" w:cstheme="majorBidi"/>
        </w:rPr>
        <w:t xml:space="preserve"> in shaping that future. This question is central to the study, as it synthesizes insights from all preceding questions and directly addresses the </w:t>
      </w:r>
      <w:r>
        <w:rPr>
          <w:rStyle w:val="Strong"/>
          <w:rFonts w:asciiTheme="majorBidi" w:eastAsiaTheme="majorEastAsia" w:hAnsiTheme="majorBidi" w:cstheme="majorBidi"/>
          <w:bCs w:val="0"/>
        </w:rPr>
        <w:t>main research question</w:t>
      </w:r>
      <w:r>
        <w:rPr>
          <w:rFonts w:asciiTheme="majorBidi" w:hAnsiTheme="majorBidi" w:cstheme="majorBidi"/>
        </w:rPr>
        <w:t xml:space="preserve"> concerning whether and how government regulation should guide the evolution of online arbitration. All participants engaged substantively with this issue, reflecting a high level of professional awareness of the strategic importance of digital arbitration to the UAE’s legal and economic ambitions.</w:t>
      </w:r>
    </w:p>
    <w:p w14:paraId="5A1D941D"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Overall, the responses reveal a </w:t>
      </w:r>
      <w:r>
        <w:rPr>
          <w:rStyle w:val="Strong"/>
          <w:rFonts w:asciiTheme="majorBidi" w:eastAsiaTheme="majorEastAsia" w:hAnsiTheme="majorBidi" w:cstheme="majorBidi"/>
          <w:bCs w:val="0"/>
        </w:rPr>
        <w:t>shared optimism</w:t>
      </w:r>
      <w:r>
        <w:rPr>
          <w:rFonts w:asciiTheme="majorBidi" w:hAnsiTheme="majorBidi" w:cstheme="majorBidi"/>
        </w:rPr>
        <w:t xml:space="preserve"> regarding the UAE’s potential to become a regional—and possibly global—leader in online commercial arbitration. However, this optimism was consistently qualified by the view that technological advancement must be accompanied by </w:t>
      </w:r>
      <w:r>
        <w:rPr>
          <w:rStyle w:val="Strong"/>
          <w:rFonts w:asciiTheme="majorBidi" w:eastAsiaTheme="majorEastAsia" w:hAnsiTheme="majorBidi" w:cstheme="majorBidi"/>
          <w:bCs w:val="0"/>
        </w:rPr>
        <w:t>legislative clarity, regulatory oversight, and institutional coordination</w:t>
      </w:r>
      <w:r>
        <w:rPr>
          <w:rFonts w:asciiTheme="majorBidi" w:hAnsiTheme="majorBidi" w:cstheme="majorBidi"/>
        </w:rPr>
        <w:t xml:space="preserve"> to ensure that efficiency gains do not come at the expense of confidentiality, fairness, and legal certainty.</w:t>
      </w:r>
    </w:p>
    <w:p w14:paraId="3BC80CB4"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lastRenderedPageBreak/>
        <w:t xml:space="preserve">Several respondents highlighted the UAE’s </w:t>
      </w:r>
      <w:r>
        <w:rPr>
          <w:rStyle w:val="Strong"/>
          <w:rFonts w:asciiTheme="majorBidi" w:eastAsiaTheme="majorEastAsia" w:hAnsiTheme="majorBidi" w:cstheme="majorBidi"/>
          <w:bCs w:val="0"/>
        </w:rPr>
        <w:t>structural and infrastructural readiness</w:t>
      </w:r>
      <w:r>
        <w:rPr>
          <w:rFonts w:asciiTheme="majorBidi" w:hAnsiTheme="majorBidi" w:cstheme="majorBidi"/>
        </w:rPr>
        <w:t xml:space="preserve">. One arbitrator observed that “the UAE is uniquely positioned to become a global leader in online arbitration due to its investment in smart courts, digital infrastructure, and arbitral institutions” (Interview INT-07). This perspective reflects confidence in the UAE’s digital transformation agenda and suggests that the foundational technological and institutional elements are already in place. Analytically, this finding indicates that the future success of online arbitration will depend less on infrastructure and more on the </w:t>
      </w:r>
      <w:r>
        <w:rPr>
          <w:rStyle w:val="Strong"/>
          <w:rFonts w:asciiTheme="majorBidi" w:eastAsiaTheme="majorEastAsia" w:hAnsiTheme="majorBidi" w:cstheme="majorBidi"/>
          <w:bCs w:val="0"/>
        </w:rPr>
        <w:t>legal scaffolding</w:t>
      </w:r>
      <w:r>
        <w:rPr>
          <w:rFonts w:asciiTheme="majorBidi" w:hAnsiTheme="majorBidi" w:cstheme="majorBidi"/>
        </w:rPr>
        <w:t xml:space="preserve"> that governs its use.</w:t>
      </w:r>
    </w:p>
    <w:p w14:paraId="049C2C03"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The importance of </w:t>
      </w:r>
      <w:r>
        <w:rPr>
          <w:rStyle w:val="Strong"/>
          <w:rFonts w:asciiTheme="majorBidi" w:eastAsiaTheme="majorEastAsia" w:hAnsiTheme="majorBidi" w:cstheme="majorBidi"/>
          <w:bCs w:val="0"/>
        </w:rPr>
        <w:t>legislative adaptability</w:t>
      </w:r>
      <w:r>
        <w:rPr>
          <w:rFonts w:asciiTheme="majorBidi" w:hAnsiTheme="majorBidi" w:cstheme="majorBidi"/>
        </w:rPr>
        <w:t xml:space="preserve"> was repeatedly emphasized. One participant cautioned that “future arbitration will rely heavily on online platforms, but unless legislation evolves in tandem, practice will outpace the law and create uncertainty” (Interview INT-03). This concern reflects the risk of regulatory lag, where innovation in arbitral practice develops faster than statutory reform. From an analytical standpoint, this supports earlier findings (Q1–Q3) that flexibility in arbitration law must be balanced with timely legislative intervention to preserve predictability and trust.</w:t>
      </w:r>
    </w:p>
    <w:p w14:paraId="765121AA"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Several participants stressed that future legislation should go beyond symbolic recognition of online arbitration and instead impose </w:t>
      </w:r>
      <w:r>
        <w:rPr>
          <w:rStyle w:val="Strong"/>
          <w:rFonts w:asciiTheme="majorBidi" w:eastAsiaTheme="majorEastAsia" w:hAnsiTheme="majorBidi" w:cstheme="majorBidi"/>
          <w:bCs w:val="0"/>
        </w:rPr>
        <w:t>minimum binding standards</w:t>
      </w:r>
      <w:r>
        <w:rPr>
          <w:rFonts w:asciiTheme="majorBidi" w:hAnsiTheme="majorBidi" w:cstheme="majorBidi"/>
        </w:rPr>
        <w:t xml:space="preserve">. A legal counsel argued that “legislation should not merely recognize online arbitration but should mandate minimum standards for cybersecurity, confidentiality, and enforceability” (Interview INT-14). This view reinforces the conclusion that soft-law instruments and institutional rules, while valuable, are insufficient on their own to guarantee uniform protection. Analytically, this finding aligns with </w:t>
      </w:r>
      <w:r>
        <w:rPr>
          <w:rStyle w:val="Strong"/>
          <w:rFonts w:asciiTheme="majorBidi" w:eastAsiaTheme="majorEastAsia" w:hAnsiTheme="majorBidi" w:cstheme="majorBidi"/>
          <w:bCs w:val="0"/>
        </w:rPr>
        <w:t>Sub-Question 2</w:t>
      </w:r>
      <w:r>
        <w:rPr>
          <w:rFonts w:asciiTheme="majorBidi" w:hAnsiTheme="majorBidi" w:cstheme="majorBidi"/>
        </w:rPr>
        <w:t>, highlighting the role of legislation in enhancing regulatory effectiveness through enforceable obligations.</w:t>
      </w:r>
    </w:p>
    <w:p w14:paraId="218567E7"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lastRenderedPageBreak/>
        <w:t>Trust emerged as a central theme shaping future expectations. One academic participant remarked that “the future of online arbitration will be shaped not only by technology but by trust; if parties doubt the confidentiality of digital platforms, legislation must provide assurances through strict data protection laws” (Interview INT-11). This observation underscores that party confidence is the linchpin of arbitration’s legitimacy. Analytically, it reinforces earlier findings (Q7–Q9) that confidentiality and data protection are decisive factors in determining whether digital arbitration will be widely accepted.</w:t>
      </w:r>
    </w:p>
    <w:p w14:paraId="15EFC730"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The </w:t>
      </w:r>
      <w:r>
        <w:rPr>
          <w:rStyle w:val="Strong"/>
          <w:rFonts w:asciiTheme="majorBidi" w:eastAsiaTheme="majorEastAsia" w:hAnsiTheme="majorBidi" w:cstheme="majorBidi"/>
          <w:bCs w:val="0"/>
        </w:rPr>
        <w:t>international dimension</w:t>
      </w:r>
      <w:r>
        <w:rPr>
          <w:rFonts w:asciiTheme="majorBidi" w:hAnsiTheme="majorBidi" w:cstheme="majorBidi"/>
        </w:rPr>
        <w:t xml:space="preserve"> of the UAE’s arbitration future was also emphasized. One respondent noted that “as disputes become increasingly cross-border, the UAE must align its legislative framework with international norms such as the </w:t>
      </w:r>
      <w:r>
        <w:rPr>
          <w:rStyle w:val="whitespace-normal"/>
          <w:rFonts w:asciiTheme="majorBidi" w:eastAsiaTheme="majorEastAsia" w:hAnsiTheme="majorBidi" w:cstheme="majorBidi"/>
        </w:rPr>
        <w:t>UNCITRAL</w:t>
      </w:r>
      <w:r>
        <w:rPr>
          <w:rFonts w:asciiTheme="majorBidi" w:hAnsiTheme="majorBidi" w:cstheme="majorBidi"/>
        </w:rPr>
        <w:t xml:space="preserve"> Model Law and GDPR principles” (Interview INT-05). This highlights the transnational nature of online arbitration and the need for legislative harmonization to ensure global enforceability and competitiveness. Analytically, this finding situates the UAE’s reform trajectory within a broader international regulatory ecosystem.</w:t>
      </w:r>
    </w:p>
    <w:p w14:paraId="2AB92DBE"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At the same time, several practitioners cautioned against </w:t>
      </w:r>
      <w:r>
        <w:rPr>
          <w:rStyle w:val="Strong"/>
          <w:rFonts w:asciiTheme="majorBidi" w:eastAsiaTheme="majorEastAsia" w:hAnsiTheme="majorBidi" w:cstheme="majorBidi"/>
          <w:bCs w:val="0"/>
        </w:rPr>
        <w:t>over-regulation</w:t>
      </w:r>
      <w:r>
        <w:rPr>
          <w:rFonts w:asciiTheme="majorBidi" w:hAnsiTheme="majorBidi" w:cstheme="majorBidi"/>
        </w:rPr>
        <w:t>. Participants including INT-01, INT-08, and INT-12 warned that excessively rigid legislation could stifle innovation. One practitioner explained that “legislation must be enabling, not restrictive; it should provide a framework while allowing institutions to innovate” (Interview INT-08). This insight reflects a nuanced understanding that the future of online arbitration depends on maintaining procedural flexibility while embedding essential safeguards.</w:t>
      </w:r>
    </w:p>
    <w:p w14:paraId="1D1C996F"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Finally, institutional representatives emphasised the </w:t>
      </w:r>
      <w:r>
        <w:rPr>
          <w:rStyle w:val="Strong"/>
          <w:rFonts w:asciiTheme="majorBidi" w:eastAsiaTheme="majorEastAsia" w:hAnsiTheme="majorBidi" w:cstheme="majorBidi"/>
          <w:bCs w:val="0"/>
        </w:rPr>
        <w:t>symbolic and confidence-building role of government involvement</w:t>
      </w:r>
      <w:r>
        <w:rPr>
          <w:rFonts w:asciiTheme="majorBidi" w:hAnsiTheme="majorBidi" w:cstheme="majorBidi"/>
        </w:rPr>
        <w:t xml:space="preserve">. One respondent stated that “government-backed </w:t>
      </w:r>
      <w:r>
        <w:rPr>
          <w:rFonts w:asciiTheme="majorBidi" w:hAnsiTheme="majorBidi" w:cstheme="majorBidi"/>
        </w:rPr>
        <w:lastRenderedPageBreak/>
        <w:t>regulation will enhance trust and make UAE arbitration more attractive to international investors” (Interview INT-02). This reinforces the idea that legislation serves not only a regulatory function but also a signaling role, projecting stability, credibility, and institutional maturity to the global arbitration community</w:t>
      </w:r>
    </w:p>
    <w:p w14:paraId="6D36EEC5" w14:textId="77777777" w:rsidR="00F073C0" w:rsidRPr="008819FD" w:rsidRDefault="00F073C0" w:rsidP="00E77165">
      <w:pPr>
        <w:pStyle w:val="NormalWeb"/>
        <w:spacing w:line="480" w:lineRule="auto"/>
        <w:ind w:firstLine="720"/>
        <w:rPr>
          <w:rFonts w:asciiTheme="majorBidi" w:hAnsiTheme="majorBidi" w:cstheme="majorBidi"/>
        </w:rPr>
      </w:pPr>
      <w:r>
        <w:rPr>
          <w:rStyle w:val="Strong"/>
          <w:rFonts w:asciiTheme="majorBidi" w:eastAsiaTheme="majorEastAsia" w:hAnsiTheme="majorBidi" w:cstheme="majorBidi"/>
          <w:bCs w:val="0"/>
        </w:rPr>
        <w:t>Linkage to Research Questions</w:t>
      </w:r>
    </w:p>
    <w:p w14:paraId="6F72E54A"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Taken together, the findings present a coherent vision of the future of online commercial arbitration in the UAE: one characterized by </w:t>
      </w:r>
      <w:r>
        <w:rPr>
          <w:rStyle w:val="Strong"/>
          <w:rFonts w:asciiTheme="majorBidi" w:eastAsiaTheme="majorEastAsia" w:hAnsiTheme="majorBidi" w:cstheme="majorBidi"/>
          <w:b w:val="0"/>
        </w:rPr>
        <w:t>technological sophistication, institutional innovation, and strategic legislative support</w:t>
      </w:r>
      <w:r>
        <w:rPr>
          <w:rFonts w:asciiTheme="majorBidi" w:hAnsiTheme="majorBidi" w:cstheme="majorBidi"/>
          <w:b/>
        </w:rPr>
        <w:t xml:space="preserve">. </w:t>
      </w:r>
      <w:r>
        <w:rPr>
          <w:rFonts w:asciiTheme="majorBidi" w:hAnsiTheme="majorBidi" w:cstheme="majorBidi"/>
          <w:bCs/>
        </w:rPr>
        <w:t>In direct response to the main research question, the evidence suggests that</w:t>
      </w:r>
      <w:r>
        <w:rPr>
          <w:rFonts w:asciiTheme="majorBidi" w:hAnsiTheme="majorBidi" w:cstheme="majorBidi"/>
          <w:b/>
        </w:rPr>
        <w:t xml:space="preserve"> </w:t>
      </w:r>
      <w:r>
        <w:rPr>
          <w:rStyle w:val="Strong"/>
          <w:rFonts w:asciiTheme="majorBidi" w:eastAsiaTheme="majorEastAsia" w:hAnsiTheme="majorBidi" w:cstheme="majorBidi"/>
          <w:b w:val="0"/>
        </w:rPr>
        <w:t>legislation</w:t>
      </w:r>
      <w:r>
        <w:rPr>
          <w:rStyle w:val="Strong"/>
          <w:rFonts w:asciiTheme="majorBidi" w:eastAsiaTheme="majorEastAsia" w:hAnsiTheme="majorBidi" w:cstheme="majorBidi"/>
          <w:bCs w:val="0"/>
        </w:rPr>
        <w:t xml:space="preserve"> </w:t>
      </w:r>
      <w:r>
        <w:rPr>
          <w:rStyle w:val="Strong"/>
          <w:rFonts w:asciiTheme="majorBidi" w:eastAsiaTheme="majorEastAsia" w:hAnsiTheme="majorBidi" w:cstheme="majorBidi"/>
          <w:b w:val="0"/>
        </w:rPr>
        <w:t>plays a decisive enabling role</w:t>
      </w:r>
      <w:r>
        <w:rPr>
          <w:rFonts w:asciiTheme="majorBidi" w:hAnsiTheme="majorBidi" w:cstheme="majorBidi"/>
        </w:rPr>
        <w:t>, providing legal certainty, minimum standards, and trust without constraining innovation.</w:t>
      </w:r>
    </w:p>
    <w:p w14:paraId="25D32D1D"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With respect to </w:t>
      </w:r>
      <w:r>
        <w:rPr>
          <w:rStyle w:val="Strong"/>
          <w:rFonts w:asciiTheme="majorBidi" w:eastAsiaTheme="majorEastAsia" w:hAnsiTheme="majorBidi" w:cstheme="majorBidi"/>
          <w:bCs w:val="0"/>
        </w:rPr>
        <w:t>Sub-Question 1</w:t>
      </w:r>
      <w:r>
        <w:rPr>
          <w:rFonts w:asciiTheme="majorBidi" w:hAnsiTheme="majorBidi" w:cstheme="majorBidi"/>
        </w:rPr>
        <w:t xml:space="preserve">, the findings confirm that future challenges relating to confidentiality and data protection will intensify as digitalization deepens, making statutory safeguards increasingly important. Regarding </w:t>
      </w:r>
      <w:r>
        <w:rPr>
          <w:rStyle w:val="Strong"/>
          <w:rFonts w:asciiTheme="majorBidi" w:eastAsiaTheme="majorEastAsia" w:hAnsiTheme="majorBidi" w:cstheme="majorBidi"/>
          <w:bCs w:val="0"/>
        </w:rPr>
        <w:t>Sub-Question 2</w:t>
      </w:r>
      <w:r>
        <w:rPr>
          <w:rFonts w:asciiTheme="majorBidi" w:hAnsiTheme="majorBidi" w:cstheme="majorBidi"/>
        </w:rPr>
        <w:t xml:space="preserve">, the results indicate that regulatory effectiveness will depend on adopting a </w:t>
      </w:r>
      <w:r>
        <w:rPr>
          <w:rStyle w:val="Strong"/>
          <w:rFonts w:asciiTheme="majorBidi" w:eastAsiaTheme="majorEastAsia" w:hAnsiTheme="majorBidi" w:cstheme="majorBidi"/>
          <w:bCs w:val="0"/>
        </w:rPr>
        <w:t>balanced legislative model</w:t>
      </w:r>
      <w:r>
        <w:rPr>
          <w:rFonts w:asciiTheme="majorBidi" w:hAnsiTheme="majorBidi" w:cstheme="majorBidi"/>
        </w:rPr>
        <w:t>—one that aligns with international standards, mandates baseline protections, and empowers arbitral institutions to innovate within a clear legal framework.</w:t>
      </w:r>
    </w:p>
    <w:p w14:paraId="3176744C" w14:textId="77777777" w:rsidR="00F073C0" w:rsidRPr="008819FD" w:rsidRDefault="00F073C0" w:rsidP="004F7C15">
      <w:pPr>
        <w:pStyle w:val="NormalWeb"/>
        <w:spacing w:line="480" w:lineRule="auto"/>
        <w:ind w:firstLine="720"/>
        <w:rPr>
          <w:rFonts w:asciiTheme="majorBidi" w:hAnsiTheme="majorBidi" w:cstheme="majorBidi"/>
        </w:rPr>
      </w:pPr>
      <w:r>
        <w:rPr>
          <w:rFonts w:asciiTheme="majorBidi" w:hAnsiTheme="majorBidi" w:cstheme="majorBidi"/>
        </w:rPr>
        <w:t xml:space="preserve">Overall, the expert responses suggest that the future of online arbitration in the UAE is promising but contingent. Digital transformation alone is insufficient; its success depends on a </w:t>
      </w:r>
      <w:r>
        <w:rPr>
          <w:rStyle w:val="Strong"/>
          <w:rFonts w:asciiTheme="majorBidi" w:eastAsiaTheme="majorEastAsia" w:hAnsiTheme="majorBidi" w:cstheme="majorBidi"/>
          <w:bCs w:val="0"/>
        </w:rPr>
        <w:t>hybrid governance model</w:t>
      </w:r>
      <w:r>
        <w:rPr>
          <w:rFonts w:asciiTheme="majorBidi" w:hAnsiTheme="majorBidi" w:cstheme="majorBidi"/>
        </w:rPr>
        <w:t xml:space="preserve"> in which legislation provides certainty and legitimacy, institutions deliver procedural innovation, and technology enhances efficiency and accessibility. This synthesis directly informs the policy recommendations advanced in Chapter 7 and supports the conclusion that the UAE is well-positioned to lead in online arbitration—provided that legal </w:t>
      </w:r>
      <w:r>
        <w:rPr>
          <w:rFonts w:asciiTheme="majorBidi" w:hAnsiTheme="majorBidi" w:cstheme="majorBidi"/>
        </w:rPr>
        <w:lastRenderedPageBreak/>
        <w:t>reform keeps pace with technological change. Table 13 provides the statistical analysis of the research data.</w:t>
      </w:r>
    </w:p>
    <w:p w14:paraId="28585B62" w14:textId="0388EE54" w:rsidR="00F073C0" w:rsidRPr="008819FD" w:rsidRDefault="00F073C0" w:rsidP="00CA2D0F">
      <w:pPr>
        <w:pStyle w:val="Caption"/>
        <w:rPr>
          <w:rFonts w:asciiTheme="majorBidi" w:eastAsia="Calibri" w:hAnsiTheme="majorBidi" w:cstheme="majorBidi"/>
          <w:color w:val="000000"/>
          <w:lang w:bidi="ar-AE"/>
        </w:rPr>
      </w:pPr>
      <w:bookmarkStart w:id="350" w:name="_Toc219753446"/>
      <w:r>
        <w:rPr>
          <w:rFonts w:asciiTheme="majorBidi" w:hAnsiTheme="majorBidi" w:cstheme="majorBidi"/>
          <w:b/>
        </w:rPr>
        <w:t xml:space="preserve">Table </w:t>
      </w:r>
      <w:r>
        <w:rPr>
          <w:rFonts w:asciiTheme="majorBidi" w:hAnsiTheme="majorBidi" w:cstheme="majorBidi"/>
          <w:b/>
        </w:rPr>
        <w:fldChar w:fldCharType="begin"/>
      </w:r>
      <w:r>
        <w:rPr>
          <w:rFonts w:asciiTheme="majorBidi" w:hAnsiTheme="majorBidi" w:cstheme="majorBidi"/>
          <w:b/>
        </w:rPr>
        <w:instrText xml:space="preserve"> SEQ Table \* ARABIC </w:instrText>
      </w:r>
      <w:r>
        <w:rPr>
          <w:rFonts w:asciiTheme="majorBidi" w:hAnsiTheme="majorBidi" w:cstheme="majorBidi"/>
          <w:b/>
        </w:rPr>
        <w:fldChar w:fldCharType="separate"/>
      </w:r>
      <w:r w:rsidR="00B55114">
        <w:rPr>
          <w:rFonts w:asciiTheme="majorBidi" w:hAnsiTheme="majorBidi" w:cstheme="majorBidi"/>
          <w:b/>
          <w:noProof/>
        </w:rPr>
        <w:t>13</w:t>
      </w:r>
      <w:r>
        <w:rPr>
          <w:rFonts w:asciiTheme="majorBidi" w:hAnsiTheme="majorBidi" w:cstheme="majorBidi"/>
          <w:b/>
        </w:rPr>
        <w:fldChar w:fldCharType="end"/>
      </w:r>
      <w:r>
        <w:rPr>
          <w:rFonts w:asciiTheme="majorBidi" w:hAnsiTheme="majorBidi" w:cstheme="majorBidi"/>
        </w:rPr>
        <w:br/>
      </w:r>
      <w:bookmarkEnd w:id="350"/>
      <w:r>
        <w:rPr>
          <w:rFonts w:asciiTheme="majorBidi" w:hAnsiTheme="majorBidi" w:cstheme="majorBidi"/>
          <w:i/>
          <w:iCs/>
        </w:rPr>
        <w:t>Statistical Analysis of Research Data</w:t>
      </w:r>
    </w:p>
    <w:tbl>
      <w:tblPr>
        <w:tblW w:w="5000" w:type="pct"/>
        <w:tblBorders>
          <w:top w:val="single" w:sz="4" w:space="0" w:color="auto"/>
          <w:bottom w:val="single" w:sz="4" w:space="0" w:color="auto"/>
        </w:tblBorders>
        <w:tblLook w:val="04A0" w:firstRow="1" w:lastRow="0" w:firstColumn="1" w:lastColumn="0" w:noHBand="0" w:noVBand="1"/>
      </w:tblPr>
      <w:tblGrid>
        <w:gridCol w:w="1352"/>
        <w:gridCol w:w="3322"/>
        <w:gridCol w:w="2355"/>
        <w:gridCol w:w="2092"/>
      </w:tblGrid>
      <w:tr w:rsidR="00F073C0" w:rsidRPr="008819FD" w14:paraId="258D750D" w14:textId="77777777" w:rsidTr="008B409F">
        <w:tc>
          <w:tcPr>
            <w:tcW w:w="741" w:type="pct"/>
            <w:vAlign w:val="center"/>
            <w:hideMark/>
          </w:tcPr>
          <w:p w14:paraId="60B674EC"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lang w:bidi="ar-AE"/>
              </w:rPr>
            </w:pPr>
            <w:r>
              <w:rPr>
                <w:rFonts w:asciiTheme="majorBidi" w:eastAsia="Calibri" w:hAnsiTheme="majorBidi" w:cstheme="majorBidi"/>
                <w:b/>
                <w:color w:val="000000"/>
                <w:lang w:bidi="ar-AE"/>
              </w:rPr>
              <w:t>Interview Code</w:t>
            </w:r>
          </w:p>
        </w:tc>
        <w:tc>
          <w:tcPr>
            <w:tcW w:w="1821" w:type="pct"/>
            <w:vAlign w:val="center"/>
            <w:hideMark/>
          </w:tcPr>
          <w:p w14:paraId="52B07606"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lang w:bidi="ar-AE"/>
              </w:rPr>
            </w:pPr>
            <w:r>
              <w:rPr>
                <w:rFonts w:asciiTheme="majorBidi" w:eastAsia="Calibri" w:hAnsiTheme="majorBidi" w:cstheme="majorBidi"/>
                <w:b/>
                <w:color w:val="000000"/>
                <w:lang w:bidi="ar-AE"/>
              </w:rPr>
              <w:t>Evidence (Participant Quote)</w:t>
            </w:r>
          </w:p>
        </w:tc>
        <w:tc>
          <w:tcPr>
            <w:tcW w:w="1291" w:type="pct"/>
            <w:vAlign w:val="center"/>
            <w:hideMark/>
          </w:tcPr>
          <w:p w14:paraId="56AC9A6C"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lang w:bidi="ar-AE"/>
              </w:rPr>
            </w:pPr>
            <w:r>
              <w:rPr>
                <w:rFonts w:asciiTheme="majorBidi" w:eastAsia="Calibri" w:hAnsiTheme="majorBidi" w:cstheme="majorBidi"/>
                <w:b/>
                <w:color w:val="000000"/>
                <w:lang w:bidi="ar-AE"/>
              </w:rPr>
              <w:t>Concept Derived</w:t>
            </w:r>
          </w:p>
        </w:tc>
        <w:tc>
          <w:tcPr>
            <w:tcW w:w="1147" w:type="pct"/>
            <w:vAlign w:val="center"/>
            <w:hideMark/>
          </w:tcPr>
          <w:p w14:paraId="36ACFDB2" w14:textId="77777777" w:rsidR="00F073C0" w:rsidRPr="008819FD" w:rsidRDefault="00F073C0" w:rsidP="00C2531E">
            <w:pPr>
              <w:shd w:val="clear" w:color="auto" w:fill="FFFFFF"/>
              <w:spacing w:after="0" w:line="480" w:lineRule="auto"/>
              <w:rPr>
                <w:rFonts w:asciiTheme="majorBidi" w:eastAsia="Calibri" w:hAnsiTheme="majorBidi" w:cstheme="majorBidi"/>
                <w:b/>
                <w:color w:val="000000"/>
                <w:lang w:bidi="ar-AE"/>
              </w:rPr>
            </w:pPr>
            <w:r>
              <w:rPr>
                <w:rFonts w:asciiTheme="majorBidi" w:eastAsia="Calibri" w:hAnsiTheme="majorBidi" w:cstheme="majorBidi"/>
                <w:b/>
                <w:color w:val="000000"/>
                <w:lang w:bidi="ar-AE"/>
              </w:rPr>
              <w:t>Analytical Theme</w:t>
            </w:r>
          </w:p>
        </w:tc>
      </w:tr>
      <w:tr w:rsidR="00F073C0" w:rsidRPr="008819FD" w14:paraId="776C4294" w14:textId="77777777" w:rsidTr="008B409F">
        <w:tc>
          <w:tcPr>
            <w:tcW w:w="741" w:type="pct"/>
            <w:vAlign w:val="center"/>
            <w:hideMark/>
          </w:tcPr>
          <w:p w14:paraId="3ED02FF7"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INT-07</w:t>
            </w:r>
          </w:p>
        </w:tc>
        <w:tc>
          <w:tcPr>
            <w:tcW w:w="1821" w:type="pct"/>
            <w:vAlign w:val="center"/>
            <w:hideMark/>
          </w:tcPr>
          <w:p w14:paraId="53CCF21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“The UAE is uniquely positioned to become a global leader …”</w:t>
            </w:r>
          </w:p>
        </w:tc>
        <w:tc>
          <w:tcPr>
            <w:tcW w:w="1291" w:type="pct"/>
            <w:vAlign w:val="center"/>
            <w:hideMark/>
          </w:tcPr>
          <w:p w14:paraId="786F601F"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National readiness and infrastructure</w:t>
            </w:r>
          </w:p>
        </w:tc>
        <w:tc>
          <w:tcPr>
            <w:tcW w:w="1147" w:type="pct"/>
            <w:vAlign w:val="center"/>
            <w:hideMark/>
          </w:tcPr>
          <w:p w14:paraId="63C77F5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Optimism about the UAE’s future role</w:t>
            </w:r>
          </w:p>
        </w:tc>
      </w:tr>
      <w:tr w:rsidR="00F073C0" w:rsidRPr="008819FD" w14:paraId="0D53771C" w14:textId="77777777" w:rsidTr="008B409F">
        <w:tc>
          <w:tcPr>
            <w:tcW w:w="741" w:type="pct"/>
            <w:vAlign w:val="center"/>
            <w:hideMark/>
          </w:tcPr>
          <w:p w14:paraId="0F432726"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INT-03</w:t>
            </w:r>
          </w:p>
        </w:tc>
        <w:tc>
          <w:tcPr>
            <w:tcW w:w="1821" w:type="pct"/>
            <w:vAlign w:val="center"/>
            <w:hideMark/>
          </w:tcPr>
          <w:p w14:paraId="1E41883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“Unless legislation evolves in tandem, practice will outpace the law …”</w:t>
            </w:r>
          </w:p>
        </w:tc>
        <w:tc>
          <w:tcPr>
            <w:tcW w:w="1291" w:type="pct"/>
            <w:vAlign w:val="center"/>
            <w:hideMark/>
          </w:tcPr>
          <w:p w14:paraId="531279CB"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Risk of regulatory lag</w:t>
            </w:r>
          </w:p>
        </w:tc>
        <w:tc>
          <w:tcPr>
            <w:tcW w:w="1147" w:type="pct"/>
            <w:vAlign w:val="center"/>
            <w:hideMark/>
          </w:tcPr>
          <w:p w14:paraId="06D75138"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Legislative adaptability</w:t>
            </w:r>
          </w:p>
        </w:tc>
      </w:tr>
      <w:tr w:rsidR="00F073C0" w:rsidRPr="008819FD" w14:paraId="60DA4F8A" w14:textId="77777777" w:rsidTr="008B409F">
        <w:tc>
          <w:tcPr>
            <w:tcW w:w="741" w:type="pct"/>
            <w:vAlign w:val="center"/>
            <w:hideMark/>
          </w:tcPr>
          <w:p w14:paraId="560D35A0"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INT-14</w:t>
            </w:r>
          </w:p>
        </w:tc>
        <w:tc>
          <w:tcPr>
            <w:tcW w:w="1821" w:type="pct"/>
            <w:vAlign w:val="center"/>
            <w:hideMark/>
          </w:tcPr>
          <w:p w14:paraId="53CF2DC4"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“Legislation should mandate minimum standards for cybersecurity …”</w:t>
            </w:r>
          </w:p>
        </w:tc>
        <w:tc>
          <w:tcPr>
            <w:tcW w:w="1291" w:type="pct"/>
            <w:vAlign w:val="center"/>
            <w:hideMark/>
          </w:tcPr>
          <w:p w14:paraId="4E1B8E98"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Binding statutory protections</w:t>
            </w:r>
          </w:p>
        </w:tc>
        <w:tc>
          <w:tcPr>
            <w:tcW w:w="1147" w:type="pct"/>
            <w:vAlign w:val="center"/>
            <w:hideMark/>
          </w:tcPr>
          <w:p w14:paraId="123A479F"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Regulatory certainty</w:t>
            </w:r>
          </w:p>
        </w:tc>
      </w:tr>
      <w:tr w:rsidR="00F073C0" w:rsidRPr="008819FD" w14:paraId="0FF37AEC" w14:textId="77777777" w:rsidTr="008B409F">
        <w:tc>
          <w:tcPr>
            <w:tcW w:w="741" w:type="pct"/>
            <w:vAlign w:val="center"/>
            <w:hideMark/>
          </w:tcPr>
          <w:p w14:paraId="322A447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INT-11</w:t>
            </w:r>
          </w:p>
        </w:tc>
        <w:tc>
          <w:tcPr>
            <w:tcW w:w="1821" w:type="pct"/>
            <w:vAlign w:val="center"/>
            <w:hideMark/>
          </w:tcPr>
          <w:p w14:paraId="1A9243B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“The future … will be shaped not only by technology but by trust …”</w:t>
            </w:r>
          </w:p>
        </w:tc>
        <w:tc>
          <w:tcPr>
            <w:tcW w:w="1291" w:type="pct"/>
            <w:vAlign w:val="center"/>
            <w:hideMark/>
          </w:tcPr>
          <w:p w14:paraId="783C377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Trust and confidentiality as pillars</w:t>
            </w:r>
          </w:p>
        </w:tc>
        <w:tc>
          <w:tcPr>
            <w:tcW w:w="1147" w:type="pct"/>
            <w:vAlign w:val="center"/>
            <w:hideMark/>
          </w:tcPr>
          <w:p w14:paraId="3929B437"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Need for legislative assurances</w:t>
            </w:r>
          </w:p>
        </w:tc>
      </w:tr>
      <w:tr w:rsidR="00F073C0" w:rsidRPr="008819FD" w14:paraId="06A4AB8C" w14:textId="77777777" w:rsidTr="008B409F">
        <w:tc>
          <w:tcPr>
            <w:tcW w:w="741" w:type="pct"/>
            <w:vAlign w:val="center"/>
            <w:hideMark/>
          </w:tcPr>
          <w:p w14:paraId="0ABF7A84"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INT-05</w:t>
            </w:r>
          </w:p>
        </w:tc>
        <w:tc>
          <w:tcPr>
            <w:tcW w:w="1821" w:type="pct"/>
            <w:vAlign w:val="center"/>
            <w:hideMark/>
          </w:tcPr>
          <w:p w14:paraId="6ECBD811"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“The UAE must align its legislative framework with UNCITRAL and GDPR …”</w:t>
            </w:r>
          </w:p>
        </w:tc>
        <w:tc>
          <w:tcPr>
            <w:tcW w:w="1291" w:type="pct"/>
            <w:vAlign w:val="center"/>
            <w:hideMark/>
          </w:tcPr>
          <w:p w14:paraId="1D2CF445"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Cross-border harmonization</w:t>
            </w:r>
          </w:p>
        </w:tc>
        <w:tc>
          <w:tcPr>
            <w:tcW w:w="1147" w:type="pct"/>
            <w:vAlign w:val="center"/>
            <w:hideMark/>
          </w:tcPr>
          <w:p w14:paraId="60A3CAB7"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International alignment</w:t>
            </w:r>
          </w:p>
        </w:tc>
      </w:tr>
      <w:tr w:rsidR="00F073C0" w:rsidRPr="008819FD" w14:paraId="52513DE5" w14:textId="77777777" w:rsidTr="008B409F">
        <w:tc>
          <w:tcPr>
            <w:tcW w:w="741" w:type="pct"/>
            <w:vAlign w:val="center"/>
            <w:hideMark/>
          </w:tcPr>
          <w:p w14:paraId="7655BDE6"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lastRenderedPageBreak/>
              <w:t>INT-08</w:t>
            </w:r>
          </w:p>
        </w:tc>
        <w:tc>
          <w:tcPr>
            <w:tcW w:w="1821" w:type="pct"/>
            <w:vAlign w:val="center"/>
            <w:hideMark/>
          </w:tcPr>
          <w:p w14:paraId="5263088E"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“Legislation must be enabling, not restrictive …”</w:t>
            </w:r>
          </w:p>
        </w:tc>
        <w:tc>
          <w:tcPr>
            <w:tcW w:w="1291" w:type="pct"/>
            <w:vAlign w:val="center"/>
            <w:hideMark/>
          </w:tcPr>
          <w:p w14:paraId="3C4C0DEC"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Flexible legal frameworks</w:t>
            </w:r>
          </w:p>
        </w:tc>
        <w:tc>
          <w:tcPr>
            <w:tcW w:w="1147" w:type="pct"/>
            <w:vAlign w:val="center"/>
            <w:hideMark/>
          </w:tcPr>
          <w:p w14:paraId="4CBEE482"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Balance of law and innovation</w:t>
            </w:r>
          </w:p>
        </w:tc>
      </w:tr>
      <w:tr w:rsidR="00F073C0" w:rsidRPr="008819FD" w14:paraId="317B85D9" w14:textId="77777777" w:rsidTr="008B409F">
        <w:trPr>
          <w:trHeight w:val="1250"/>
        </w:trPr>
        <w:tc>
          <w:tcPr>
            <w:tcW w:w="741" w:type="pct"/>
            <w:vAlign w:val="center"/>
            <w:hideMark/>
          </w:tcPr>
          <w:p w14:paraId="11C05EE6"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INT-02 / INT-15</w:t>
            </w:r>
          </w:p>
        </w:tc>
        <w:tc>
          <w:tcPr>
            <w:tcW w:w="1821" w:type="pct"/>
            <w:vAlign w:val="center"/>
            <w:hideMark/>
          </w:tcPr>
          <w:p w14:paraId="1C0555D4"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i/>
                <w:iCs/>
                <w:color w:val="000000"/>
                <w:lang w:bidi="ar-AE"/>
              </w:rPr>
              <w:t>“Government-backed regulation will enhance trust …”</w:t>
            </w:r>
          </w:p>
        </w:tc>
        <w:tc>
          <w:tcPr>
            <w:tcW w:w="1291" w:type="pct"/>
            <w:vAlign w:val="center"/>
            <w:hideMark/>
          </w:tcPr>
          <w:p w14:paraId="13BA694E"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State involvement in arbitration governance</w:t>
            </w:r>
          </w:p>
        </w:tc>
        <w:tc>
          <w:tcPr>
            <w:tcW w:w="1147" w:type="pct"/>
            <w:vAlign w:val="center"/>
            <w:hideMark/>
          </w:tcPr>
          <w:p w14:paraId="71668D28"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 xml:space="preserve">Confidence and </w:t>
            </w:r>
          </w:p>
          <w:p w14:paraId="06421DBD" w14:textId="77777777" w:rsidR="00F073C0" w:rsidRPr="008819FD" w:rsidRDefault="00F073C0" w:rsidP="00C2531E">
            <w:pPr>
              <w:shd w:val="clear" w:color="auto" w:fill="FFFFFF"/>
              <w:spacing w:after="0" w:line="480" w:lineRule="auto"/>
              <w:rPr>
                <w:rFonts w:asciiTheme="majorBidi" w:eastAsia="Calibri" w:hAnsiTheme="majorBidi" w:cstheme="majorBidi"/>
                <w:color w:val="000000"/>
                <w:lang w:bidi="ar-AE"/>
              </w:rPr>
            </w:pPr>
            <w:r>
              <w:rPr>
                <w:rFonts w:asciiTheme="majorBidi" w:eastAsia="Calibri" w:hAnsiTheme="majorBidi" w:cstheme="majorBidi"/>
                <w:color w:val="000000"/>
                <w:lang w:bidi="ar-AE"/>
              </w:rPr>
              <w:t>legitimacy</w:t>
            </w:r>
          </w:p>
        </w:tc>
      </w:tr>
      <w:bookmarkEnd w:id="238"/>
    </w:tbl>
    <w:p w14:paraId="6ACA936C" w14:textId="77777777" w:rsidR="00F073C0" w:rsidRPr="008819FD" w:rsidRDefault="00F073C0" w:rsidP="00C2531E">
      <w:pPr>
        <w:shd w:val="clear" w:color="auto" w:fill="FFFFFF"/>
        <w:spacing w:line="480" w:lineRule="auto"/>
        <w:rPr>
          <w:rFonts w:asciiTheme="majorBidi" w:eastAsia="Calibri" w:hAnsiTheme="majorBidi" w:cstheme="majorBidi"/>
          <w:color w:val="000000"/>
        </w:rPr>
      </w:pPr>
    </w:p>
    <w:p w14:paraId="78867BE9"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The findings of this study reveal the multifaceted and evolving nature of online commercial arbitration in the </w:t>
      </w:r>
      <w:r>
        <w:rPr>
          <w:rFonts w:asciiTheme="majorBidi" w:eastAsia="Calibri" w:hAnsiTheme="majorBidi" w:cstheme="majorBidi"/>
          <w:b/>
          <w:bCs/>
          <w:color w:val="000000"/>
        </w:rPr>
        <w:t>United Arab Emirates</w:t>
      </w:r>
      <w:r>
        <w:rPr>
          <w:rFonts w:asciiTheme="majorBidi" w:eastAsia="Calibri" w:hAnsiTheme="majorBidi" w:cstheme="majorBidi"/>
          <w:color w:val="000000"/>
        </w:rPr>
        <w:t>, demonstrating that the regulatory landscape is marked by both progress and persistent uncertainty. The interview data generated insights that move beyond descriptive accounts, offering a critical evaluation of how law, practice, and technology interact in the context of digital arbitration.</w:t>
      </w:r>
    </w:p>
    <w:p w14:paraId="5A4C8637"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In relation to the first research question—namely whether the UAE’s existing legislative framework provides an adequate foundation for regulating online commercial arbitration—participants expressed divergent yet complementary views. Several interviewees acknowledged that Federal Law No. 6 of 2018 establishes a robust general framework for arbitration and reflects the UAE’s commitment to aligning with international standards. However, they emphasised that the legislation does not expressly address the procedural, technical, and cybersecurity challenges specific to online arbitration.</w:t>
      </w:r>
    </w:p>
    <w:p w14:paraId="44C5CD76"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Other participants highlighted that this legislative silence has compelled arbitral institutions to rely heavily on non-binding guidelines and soft-law instruments to regulate digital proceedings. While such flexibility may facilitate innovation, it also risks inconsistency </w:t>
      </w:r>
      <w:r>
        <w:rPr>
          <w:rFonts w:asciiTheme="majorBidi" w:eastAsia="Calibri" w:hAnsiTheme="majorBidi" w:cstheme="majorBidi"/>
          <w:color w:val="000000"/>
        </w:rPr>
        <w:lastRenderedPageBreak/>
        <w:t>and fragmentation in practice, particularly in relation to data protection, confidentiality, and the secure conduct of virtual hearings.</w:t>
      </w:r>
    </w:p>
    <w:p w14:paraId="73680DC4"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This divergence of opinion underscores a broader concern: although the UAE’s arbitration framework remains functionally effective, its sufficiency is increasingly questioned in light of the growing dependence on remote hearings, electronic communication, and the digital exchange of sensitive information. These findings are consistent with academic literature suggesting that legal systems often struggle to keep pace with technological transformation. Consequently, there is a compelling need for targeted legislative reform to address the specific risks associated with online arbitration, particularly about confidentiality, cybersecurity safeguards, and the enforceability of electronically conducted proceedings.</w:t>
      </w:r>
    </w:p>
    <w:p w14:paraId="79E5199A"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When participants were asked to evaluate the compatibility of UAE arbitration laws with international standards—particularly those developed by </w:t>
      </w:r>
      <w:r>
        <w:rPr>
          <w:rFonts w:asciiTheme="majorBidi" w:eastAsia="Calibri" w:hAnsiTheme="majorBidi" w:cstheme="majorBidi"/>
          <w:b/>
          <w:bCs/>
          <w:color w:val="000000"/>
        </w:rPr>
        <w:t>UNCITRAL</w:t>
      </w:r>
      <w:r>
        <w:rPr>
          <w:rFonts w:asciiTheme="majorBidi" w:eastAsia="Calibri" w:hAnsiTheme="majorBidi" w:cstheme="majorBidi"/>
          <w:color w:val="000000"/>
        </w:rPr>
        <w:t xml:space="preserve"> and other global regulatory frameworks—their responses reflected a balance between measured optimism and substantive concern. Several participants acknowledged that UAE centres have made notable progress in embracing digital transformation, including the deployment of encrypted communication platforms, secure document management systems, and structured protocols for conducting virtual hearings. These developments were viewed as evidence of institutional readiness and a growing commitment to modern arbitration practice.</w:t>
      </w:r>
    </w:p>
    <w:p w14:paraId="65141D75"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Nevertheless, several interviewees underscored the absence of binding statutory alignment with international data protection and cybersecurity standards. They cautioned that reliance on institutional practices and non-binding guidelines, rather than explicit legislative mandates, may expose UAE arbitral proceedings to challenges in cross-border enforcement. Concerns were raised that disparities between domestic regulatory approaches and </w:t>
      </w:r>
      <w:r>
        <w:rPr>
          <w:rFonts w:asciiTheme="majorBidi" w:eastAsia="Calibri" w:hAnsiTheme="majorBidi" w:cstheme="majorBidi"/>
          <w:color w:val="000000"/>
        </w:rPr>
        <w:lastRenderedPageBreak/>
        <w:t>internationally recognized data protection regimes could undermine confidence in the confidentiality and integrity of online arbitration, thereby affecting the recognition and enforceability of UAE arbitral awards in foreign jurisdictions.</w:t>
      </w:r>
    </w:p>
    <w:p w14:paraId="4FBAFCBA"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These observations suggest that, while the UAE has demonstrated ambition and technical capacity to integrate digital solutions into arbitration, legislative harmonization with global frameworks remains incomplete. Without clearer alignment, the UAE risks lagging leading arbitral jurisdictions that have explicitly benchmarked their arbitration laws and digital practices against internationally recognized standards, including the UNCITRAL Model Law and advanced data protection regimes.</w:t>
      </w:r>
    </w:p>
    <w:p w14:paraId="537E42A3"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Procedural challenges associated with online arbitration emerged as another prominent theme. Participants reported recurring difficulties in managing virtual hearings, exchanging documents electronically, and maintaining effective communication between parties located in different jurisdictions. Some interviewees referred to connectivity disruptions and uneven digital infrastructure, while others highlighted the lack of uniform procedural rules governing online arbitration across UAE centres.</w:t>
      </w:r>
    </w:p>
    <w:p w14:paraId="2DCF439A"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These findings are consistent with arbitration scholarship, which emphasizes that technological capability alone does not ensure procedural efficiency or legal certainty. The interview data indicate a need for UAE centres to move towards the development of standardised digital protocols, particularly in relation to virtual hearing management, participant authentication, and secure evidence storage. In the absence of such reforms, online arbitration risks being perceived as procedurally fragmented and susceptible to disputes overdue process, potentially undermining its legitimacy and long-term acceptance.</w:t>
      </w:r>
    </w:p>
    <w:p w14:paraId="0361435D" w14:textId="7FB2C49F" w:rsidR="00F073C0" w:rsidRPr="008819FD" w:rsidRDefault="00F073C0" w:rsidP="000851F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 xml:space="preserve">Confidentiality and data protection emerged as the most dominant and consistently recurring themes across the interviews. While participants acknowledged that arbitration institutions such as the Dubai International Arbitration Centre (DIAC) and the </w:t>
      </w:r>
      <w:r w:rsidR="000851F5">
        <w:rPr>
          <w:rFonts w:asciiTheme="majorBidi" w:hAnsiTheme="majorBidi" w:cstheme="majorBidi"/>
        </w:rPr>
        <w:t xml:space="preserve">ADGM Dispute Resolution Hearing Centre </w:t>
      </w:r>
      <w:r>
        <w:rPr>
          <w:rFonts w:asciiTheme="majorBidi" w:eastAsia="Calibri" w:hAnsiTheme="majorBidi" w:cstheme="majorBidi"/>
          <w:color w:val="000000"/>
        </w:rPr>
        <w:t>employ encryption and other technical safeguards within their digital platforms, many interviewees expressed skepticism regarding the overall sufficiency of these measures. Concerns were raised about non-technical vulnerabilities, such as human error including the accidental transmission of confidential documents to unintended recipients and the inherent difficulty of monitoring, containing, and remedying breaches once sensitive data has been compromised.</w:t>
      </w:r>
    </w:p>
    <w:p w14:paraId="45620726"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Participants also highlighted the heightened risks associated with cross-border arbitration, noting that disputes involving parties from jurisdictions with weaker data protection regimes may expose confidential arbitration data to inconsistent or inadequate regulatory safeguards. These observations reinforce the view that effective confidentiality protection in online arbitration cannot rest solely on institutional platforms or technological tools. Rather, it requires a more comprehensive framework that combines clear statutory obligations, mandatory institutional protocols, and continuous oversight mechanisms. The findings align with the prevailing academic consensus that confidentiality—long regarded as a defining feature of arbitration—is increasingly strained in digital environments and must be protected through a multi-layered approach integrating law, technology, institutional governance, and user compliance.</w:t>
      </w:r>
    </w:p>
    <w:p w14:paraId="5CB917C4"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A particularly significant outcome of the interviews concerned the future trajectory of online arbitration in the UAE and the central role of legislation in shaping that trajectory. All participants engaged deeply with this issue, and many expressed optimisms that the UAE is </w:t>
      </w:r>
      <w:r>
        <w:rPr>
          <w:rFonts w:asciiTheme="majorBidi" w:eastAsia="Calibri" w:hAnsiTheme="majorBidi" w:cstheme="majorBidi"/>
          <w:color w:val="000000"/>
        </w:rPr>
        <w:lastRenderedPageBreak/>
        <w:t>uniquely positioned to emerge as a global hub for online arbitration, given its substantial investments in smart courts, digital infrastructure, and judicial innovation. At the same time, interviewees voiced caution, warning that if legislative reform does not keep pace with technological advancement, arbitral practice may outstrip the law, creating uncertainty and increasing the risk of enforceability challenges.</w:t>
      </w:r>
    </w:p>
    <w:p w14:paraId="43D1A7AC"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Several participants emphasised that future legislation should not adopt a restrictive or overly prescriptive approach. Instead, it should provide enabling legal frameworks that establish minimum standards for cybersecurity, data protection, and procedural integrity, while still allowing arbitration institutions sufficient flexibility to innovate and adapt. Others stressed that meaningful alignment with international standards—particularly those developed by UNCITRAL and data protection regimes such as the General Data Protection Regulation (GDPR)—is essential if the UAE is to maintain credibility and competitiveness in cross-border arbitration.</w:t>
      </w:r>
    </w:p>
    <w:p w14:paraId="5D1A59C8"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Taken together, these perspectives reveal a shared vision among practitioners: the future of online arbitration in the UAE is promising, but its success depends on legislative evolution that provides legal certainty, reinforces trust in digital processes, and harmonizes domestic arbitration practice with global regulatory expectations.</w:t>
      </w:r>
    </w:p>
    <w:p w14:paraId="56F347DD"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The interviews further revealed that participants do not perceive the challenges of online arbitration as purely technological in nature. Rather, they are understood as </w:t>
      </w:r>
      <w:r>
        <w:rPr>
          <w:rStyle w:val="Strong"/>
          <w:rFonts w:asciiTheme="majorBidi" w:eastAsiaTheme="majorEastAsia" w:hAnsiTheme="majorBidi" w:cstheme="majorBidi"/>
          <w:b w:val="0"/>
          <w:bCs w:val="0"/>
        </w:rPr>
        <w:t>institutional and human challenges</w:t>
      </w:r>
      <w:r>
        <w:rPr>
          <w:rFonts w:asciiTheme="majorBidi" w:hAnsiTheme="majorBidi" w:cstheme="majorBidi"/>
        </w:rPr>
        <w:t xml:space="preserve"> that interact closely with technological risk. Several experts emphasised the critical importance of targeted training for arbitrators, legal counsel, and institutional staff, particularly in areas such as cybersecurity awareness, secure document handling, and the management of virtual hearings. Without sufficient digital literacy, even well-designed </w:t>
      </w:r>
      <w:r>
        <w:rPr>
          <w:rFonts w:asciiTheme="majorBidi" w:hAnsiTheme="majorBidi" w:cstheme="majorBidi"/>
        </w:rPr>
        <w:lastRenderedPageBreak/>
        <w:t>platforms may be undermined by improper use, human error, or inconsistent procedural practices.</w:t>
      </w:r>
    </w:p>
    <w:p w14:paraId="4E18CCF0"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Other participants stressed that </w:t>
      </w:r>
      <w:r>
        <w:rPr>
          <w:rStyle w:val="Strong"/>
          <w:rFonts w:asciiTheme="majorBidi" w:eastAsiaTheme="majorEastAsia" w:hAnsiTheme="majorBidi" w:cstheme="majorBidi"/>
          <w:b w:val="0"/>
          <w:bCs w:val="0"/>
        </w:rPr>
        <w:t>procedural flexibility</w:t>
      </w:r>
      <w:r>
        <w:rPr>
          <w:rFonts w:asciiTheme="majorBidi" w:hAnsiTheme="majorBidi" w:cstheme="majorBidi"/>
        </w:rPr>
        <w:t xml:space="preserve"> is essential to safeguarding fairness in online arbitration. They highlighted the need for adaptable timelines and responsive procedural management when technical disruptions occur, such as connectivity failures or platform malfunctions during hearings. Rigid adherence to procedural deadlines in such circumstances, interviewees suggested, may compromise due process and exacerbate inequalities between parties with differing technological capacities.</w:t>
      </w:r>
    </w:p>
    <w:p w14:paraId="287B035B"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At the same time, participants acknowledged the potential of emerging technologies to enhance arbitral efficiency. Several interviewees pointed to the growing use of artificial intelligence for document review, case organisation, and real-time transcription as a means of reducing administrative burdens and improving the clarity of proceedings. While generally viewed as beneficial, these technologies were also described as requiring careful governance, transparency, and human oversight to avoid ethical risks and over-reliance on automated decision-support tools. Collectively, these insights suggest that the effectiveness of online arbitration depends not only on the robustness of digital platforms, but also on the adaptive capacity of institutions and users to operate competently within digitally mediated processes.</w:t>
      </w:r>
    </w:p>
    <w:p w14:paraId="123C90AE"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Overall, the findings of this research demonstrate that the United Arab Emirates has made </w:t>
      </w:r>
      <w:r>
        <w:rPr>
          <w:rStyle w:val="Strong"/>
          <w:rFonts w:asciiTheme="majorBidi" w:eastAsiaTheme="majorEastAsia" w:hAnsiTheme="majorBidi" w:cstheme="majorBidi"/>
          <w:b w:val="0"/>
          <w:bCs w:val="0"/>
        </w:rPr>
        <w:t>substantial progress</w:t>
      </w:r>
      <w:r>
        <w:rPr>
          <w:rFonts w:asciiTheme="majorBidi" w:hAnsiTheme="majorBidi" w:cstheme="majorBidi"/>
        </w:rPr>
        <w:t xml:space="preserve"> in incorporating digital technologies into arbitral practice. However, they also reveal the persistence of significant legal, procedural, and institutional gaps that must be addressed if online arbitration is to remain both effective and credible. Participants consistently pointed to the need for comprehensive statutory reform, the development of </w:t>
      </w:r>
      <w:r>
        <w:rPr>
          <w:rFonts w:asciiTheme="majorBidi" w:hAnsiTheme="majorBidi" w:cstheme="majorBidi"/>
        </w:rPr>
        <w:lastRenderedPageBreak/>
        <w:t xml:space="preserve">standardised institutional protocols, closer alignment with international frameworks such as those developed by </w:t>
      </w:r>
      <w:r>
        <w:rPr>
          <w:rStyle w:val="whitespace-normal"/>
          <w:rFonts w:asciiTheme="majorBidi" w:eastAsiaTheme="majorEastAsia" w:hAnsiTheme="majorBidi" w:cstheme="majorBidi"/>
        </w:rPr>
        <w:t>UNCITRAL</w:t>
      </w:r>
      <w:r>
        <w:rPr>
          <w:rFonts w:asciiTheme="majorBidi" w:hAnsiTheme="majorBidi" w:cstheme="majorBidi"/>
        </w:rPr>
        <w:t xml:space="preserve">, and greater convergence with global data protection regimes, including the </w:t>
      </w:r>
      <w:r>
        <w:rPr>
          <w:rStyle w:val="whitespace-normal"/>
          <w:rFonts w:asciiTheme="majorBidi" w:eastAsiaTheme="majorEastAsia" w:hAnsiTheme="majorBidi" w:cstheme="majorBidi"/>
        </w:rPr>
        <w:t>General Data Protection Regulation</w:t>
      </w:r>
      <w:r>
        <w:rPr>
          <w:rStyle w:val="Strong"/>
          <w:rFonts w:asciiTheme="majorBidi" w:eastAsiaTheme="majorEastAsia" w:hAnsiTheme="majorBidi" w:cstheme="majorBidi"/>
        </w:rPr>
        <w:t xml:space="preserve"> </w:t>
      </w:r>
      <w:r>
        <w:rPr>
          <w:rStyle w:val="Strong"/>
          <w:rFonts w:asciiTheme="majorBidi" w:eastAsiaTheme="majorEastAsia" w:hAnsiTheme="majorBidi" w:cstheme="majorBidi"/>
          <w:b w:val="0"/>
          <w:bCs w:val="0"/>
        </w:rPr>
        <w:t>(GDPR)</w:t>
      </w:r>
      <w:r>
        <w:rPr>
          <w:rFonts w:asciiTheme="majorBidi" w:hAnsiTheme="majorBidi" w:cstheme="majorBidi"/>
          <w:b/>
          <w:bCs/>
        </w:rPr>
        <w:t>.</w:t>
      </w:r>
    </w:p>
    <w:p w14:paraId="388715CA"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In addition, the findings highlight the importance of sustained investment in training, technological infrastructure, and institutional capacity-building. By integrating legal reform, procedural standardization, international harmonization, and technological innovation, the UAE has a clear opportunity to position itself as a global leader in online arbitration. Conversely, failure to address these interconnected dimensions risks leaving the system fragmented, vulnerable to confidentiality breaches, and misaligned with international best practices.</w:t>
      </w:r>
    </w:p>
    <w:p w14:paraId="315BB12A"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The discussion therefore reinforces the central argument of this research: that the </w:t>
      </w:r>
      <w:r>
        <w:rPr>
          <w:rStyle w:val="Strong"/>
          <w:rFonts w:asciiTheme="majorBidi" w:eastAsiaTheme="majorEastAsia" w:hAnsiTheme="majorBidi" w:cstheme="majorBidi"/>
          <w:b w:val="0"/>
          <w:bCs w:val="0"/>
        </w:rPr>
        <w:t>legitimacy and effectiveness of online arbitration in the UAE depend on the successful alignment of legal frameworks, institutional practices, and technological safeguards</w:t>
      </w:r>
      <w:r>
        <w:rPr>
          <w:rFonts w:asciiTheme="majorBidi" w:hAnsiTheme="majorBidi" w:cstheme="majorBidi"/>
        </w:rPr>
        <w:t>. Only through such alignment can online arbitration deliver on its promise of efficiency, fairness, and trust in a rapidly evolving digital dispute resolution landscape.</w:t>
      </w:r>
    </w:p>
    <w:p w14:paraId="25A85660" w14:textId="77777777" w:rsidR="00F073C0" w:rsidRPr="008819FD" w:rsidRDefault="00F073C0" w:rsidP="00663759">
      <w:pPr>
        <w:pStyle w:val="Heading2"/>
        <w:rPr>
          <w:rFonts w:asciiTheme="majorBidi" w:hAnsiTheme="majorBidi" w:cstheme="majorBidi"/>
          <w:sz w:val="24"/>
          <w:szCs w:val="24"/>
        </w:rPr>
      </w:pPr>
      <w:bookmarkStart w:id="351" w:name="_Toc221804587"/>
      <w:r>
        <w:rPr>
          <w:rFonts w:asciiTheme="majorBidi" w:hAnsiTheme="majorBidi" w:cstheme="majorBidi"/>
          <w:sz w:val="24"/>
          <w:szCs w:val="24"/>
        </w:rPr>
        <w:t>Quantitative Results</w:t>
      </w:r>
      <w:bookmarkEnd w:id="351"/>
      <w:r>
        <w:rPr>
          <w:rFonts w:asciiTheme="majorBidi" w:hAnsiTheme="majorBidi" w:cstheme="majorBidi"/>
          <w:sz w:val="24"/>
          <w:szCs w:val="24"/>
        </w:rPr>
        <w:t xml:space="preserve"> </w:t>
      </w:r>
    </w:p>
    <w:p w14:paraId="46066A9B" w14:textId="77777777" w:rsidR="00F073C0" w:rsidRPr="008819FD" w:rsidRDefault="00817F41" w:rsidP="009F5ACD">
      <w:pPr>
        <w:pStyle w:val="Heading3"/>
        <w:rPr>
          <w:rFonts w:asciiTheme="majorBidi" w:hAnsiTheme="majorBidi" w:cstheme="majorBidi"/>
        </w:rPr>
      </w:pPr>
      <w:bookmarkStart w:id="352" w:name="_Toc164363295"/>
      <w:bookmarkStart w:id="353" w:name="_Toc190813333"/>
      <w:bookmarkStart w:id="354" w:name="_Toc217491639"/>
      <w:bookmarkStart w:id="355" w:name="_Toc221804588"/>
      <w:r>
        <w:rPr>
          <w:rFonts w:asciiTheme="majorBidi" w:eastAsia="Times New Roman" w:hAnsiTheme="majorBidi" w:cstheme="majorBidi"/>
        </w:rPr>
        <w:t xml:space="preserve">6.3.1 </w:t>
      </w:r>
      <w:r>
        <w:rPr>
          <w:rFonts w:asciiTheme="majorBidi" w:hAnsiTheme="majorBidi" w:cstheme="majorBidi"/>
        </w:rPr>
        <w:t>Introduction</w:t>
      </w:r>
      <w:bookmarkEnd w:id="352"/>
      <w:bookmarkEnd w:id="353"/>
      <w:bookmarkEnd w:id="354"/>
      <w:bookmarkEnd w:id="355"/>
      <w:r>
        <w:rPr>
          <w:rFonts w:asciiTheme="majorBidi" w:hAnsiTheme="majorBidi" w:cstheme="majorBidi"/>
        </w:rPr>
        <w:t xml:space="preserve"> </w:t>
      </w:r>
    </w:p>
    <w:p w14:paraId="7F348BF4"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In recent years, the accelerating pace of technological development has transformed nearly every aspect of contemporary life, particularly the way commercial activities are conducted. Digitalization has reshaped business transactions, communication methods, and dispute resolution processes, giving rise to new legal and procedural challenges. One area that </w:t>
      </w:r>
      <w:r>
        <w:rPr>
          <w:rFonts w:asciiTheme="majorBidi" w:eastAsia="Calibri" w:hAnsiTheme="majorBidi" w:cstheme="majorBidi"/>
          <w:color w:val="000000"/>
        </w:rPr>
        <w:lastRenderedPageBreak/>
        <w:t>has been profoundly influenced by these developments is commercial arbitration, especially in the form of online dispute resolution mechanisms.</w:t>
      </w:r>
    </w:p>
    <w:p w14:paraId="1DEA1311"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p>
    <w:p w14:paraId="37EA3DBB"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Against this backdrop, the emergence of the United Arab Emirates as a prominent international hub for trade, investment, and cross-border commerce underscores the importance of examining how arbitration practices are adapting to technological change. As commercial relationships increasingly rely on electronic communication, digital contracts, and virtual platforms, the traditional frameworks governing arbitration are being tested.</w:t>
      </w:r>
    </w:p>
    <w:p w14:paraId="304EFE82"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Consequently, a critical assessment of the current state of online commercial arbitration in the UAE is both timely and necessary. Such an assessment must consider whether existing legal and institutional structures are adequate to regulate digitally conducted arbitration proceedings, safeguard confidentiality, ensure procedural fairness, and maintain enforceability of arbitral awards. The growing reliance on online arbitration further highlights the need for clear, coherent, and technologically responsive regulatory frameworks capable of supporting the UAE’s ambition to remain a competitive and credible arbitration jurisdiction in the digital age.</w:t>
      </w:r>
      <w:r>
        <w:rPr>
          <w:rFonts w:asciiTheme="majorBidi" w:eastAsia="Calibri" w:hAnsiTheme="majorBidi" w:cstheme="majorBidi"/>
          <w:color w:val="000000"/>
          <w:vertAlign w:val="superscript"/>
        </w:rPr>
        <w:footnoteReference w:id="412"/>
      </w:r>
    </w:p>
    <w:p w14:paraId="61869751"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This chapter presents an empirical survey examining the perceptions of legal practitioners and arbitration users regarding Online Arbitration in the United Arab Emirates. The primary objective of the survey is to capture the views of experts and key stakeholders on the effectiveness, efficiency, and legitimacy of virtual arbitration mechanisms. More </w:t>
      </w:r>
      <w:r>
        <w:rPr>
          <w:rFonts w:asciiTheme="majorBidi" w:eastAsia="Calibri" w:hAnsiTheme="majorBidi" w:cstheme="majorBidi"/>
          <w:color w:val="000000"/>
        </w:rPr>
        <w:lastRenderedPageBreak/>
        <w:t>specifically, the survey investigates whether the existing legislative and regulatory frameworks in the UAE are perceived as adequate to ensure the secure, reliable, and lawful use of digital platforms for dispute resolution. In addition, it assesses respondents’ levels of confidence in online arbitration and identifies the principal challenges they associate with its implementation, including cybersecurity risks, protection of confidentiality, procedural fairness, and technological readiness. Through this approach, the chapter seeks to develop an evidence-based assessment of whether Online Arbitration can be regarded as both a credible and efficient alternative dispute resolution mechanism within the UAE legal landscape.</w:t>
      </w:r>
    </w:p>
    <w:p w14:paraId="0367F351"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To ensure the reliability and quality of the survey findings, several methodological safeguards were adopted. The survey targeted participants with demonstrable expertise or familiarity with arbitration practice in the UAE, including lawyers, arbitrators, and law students specializing in arbitration. The questionnaire was carefully designed to cover a broad range of relevant issues, including institutional and organisational alignment with the UAE’s legal and cultural context, compatibility of existing laws with electronic arbitration procedures, and the adequacy of data security and confidentiality safeguards. Collectively, these measures enhance the robustness of the empirical insights generated and support meaningful analysis of stakeholder perceptions of Online Arbitration in the UAE </w:t>
      </w:r>
      <w:r>
        <w:rPr>
          <w:rFonts w:asciiTheme="majorBidi" w:eastAsia="Calibri" w:hAnsiTheme="majorBidi" w:cstheme="majorBidi"/>
          <w:color w:val="000000"/>
          <w:vertAlign w:val="superscript"/>
        </w:rPr>
        <w:footnoteReference w:id="413"/>
      </w:r>
      <w:r>
        <w:rPr>
          <w:rFonts w:asciiTheme="majorBidi" w:eastAsia="Calibri" w:hAnsiTheme="majorBidi" w:cstheme="majorBidi"/>
          <w:color w:val="000000"/>
        </w:rPr>
        <w:t xml:space="preserve"> </w:t>
      </w:r>
    </w:p>
    <w:p w14:paraId="45EE2BB0"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The survey was administered using Google Surveys. Data collection commenced on 7 November 2023 at 14:37:11 and concluded on 23 August 2023 at 19:46:56. The target population comprised professionals working within the arbitration sector in the United Arab Emirates. Based on industry estimates, the potential population was assessed to range between </w:t>
      </w:r>
      <w:r>
        <w:rPr>
          <w:rFonts w:asciiTheme="majorBidi" w:hAnsiTheme="majorBidi" w:cstheme="majorBidi"/>
        </w:rPr>
        <w:lastRenderedPageBreak/>
        <w:t>35 and 50 practitioners. To ensure adequate participation, approximately 100 potential respondents were identified and invited to complete the questionnaire. A total of 45 completed responses were received, exceeding the initial target sample size of 30 participants.</w:t>
      </w:r>
    </w:p>
    <w:p w14:paraId="5D0EE0CB"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Following data screening and validation procedures, five responses were excluded from the final dataset. One respondent (Participant 4) failed to complete the questionnaire, having omitted responses to three mandatory questions. Responses from Participants 7 and 8 were identified as duplicates, as the same individual completed the survey twice, resulting in the exclusion of one entry. Participant 16 submitted a response without answering any survey questions and was therefore removed. Additionally, Participant 21 completed the survey primarily in English but responded to the final open-ended question in Arabic; to maintain linguistic consistency and analytical coherence, this response was also excluded. Consequently, the final dataset comprised 40 valid responses suitable for analysis.</w:t>
      </w:r>
    </w:p>
    <w:p w14:paraId="1ED2AE21"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The survey data were analysed using SurveyMonkey’s built-in data analysis tools. The analysis generated descriptive statistics, comparative analyses across response categories, and visual infographics to facilitate interpretation. Quantitative findings were systematically compared with insights derived from the literature review to validate and contextualize the results. Qualitative textual responses were also examined and thematically assessed, allowing for the identification of areas of convergence and divergence between practitioners’ perspectives and the existing body of academic and professional literature.</w:t>
      </w:r>
    </w:p>
    <w:p w14:paraId="136EEE6D" w14:textId="77777777" w:rsidR="00F073C0" w:rsidRPr="008819FD" w:rsidRDefault="00F073C0" w:rsidP="00817F41">
      <w:pPr>
        <w:pStyle w:val="NormalWeb"/>
        <w:spacing w:line="480" w:lineRule="auto"/>
        <w:ind w:firstLine="720"/>
        <w:rPr>
          <w:rFonts w:asciiTheme="majorBidi" w:hAnsiTheme="majorBidi" w:cstheme="majorBidi"/>
        </w:rPr>
      </w:pPr>
      <w:r>
        <w:rPr>
          <w:rFonts w:asciiTheme="majorBidi" w:hAnsiTheme="majorBidi" w:cstheme="majorBidi"/>
        </w:rPr>
        <w:t xml:space="preserve">This survey-based study seeks to provide empirical insight into the current state of online commercial arbitration in the United Arab Emirates and to highlight the perceived need for clearer and more comprehensive governmental regulation in this area. By examining the </w:t>
      </w:r>
      <w:r>
        <w:rPr>
          <w:rFonts w:asciiTheme="majorBidi" w:hAnsiTheme="majorBidi" w:cstheme="majorBidi"/>
        </w:rPr>
        <w:lastRenderedPageBreak/>
        <w:t xml:space="preserve">experiences and opinions of arbitration practitioners, the research contributes to ongoing scholarly and policy-oriented debates concerning the legitimacy, effectiveness, and acceptance of online arbitration proceedings. The findings are intended to support policymakers, arbitral institutions, arbitrators, and other stakeholders in the UAE in making informed decisions regarding the regulation, development, and promotion of online commercial arbitration. </w:t>
      </w:r>
    </w:p>
    <w:p w14:paraId="21BD752F" w14:textId="77777777" w:rsidR="00F073C0" w:rsidRPr="008819FD" w:rsidRDefault="00817F41" w:rsidP="009F5ACD">
      <w:pPr>
        <w:pStyle w:val="Heading3"/>
        <w:rPr>
          <w:rFonts w:asciiTheme="majorBidi" w:hAnsiTheme="majorBidi" w:cstheme="majorBidi"/>
        </w:rPr>
      </w:pPr>
      <w:bookmarkStart w:id="356" w:name="_Toc221804589"/>
      <w:r>
        <w:rPr>
          <w:rFonts w:asciiTheme="majorBidi" w:eastAsia="Times New Roman" w:hAnsiTheme="majorBidi" w:cstheme="majorBidi"/>
        </w:rPr>
        <w:t xml:space="preserve">6.3.2 </w:t>
      </w:r>
      <w:r>
        <w:rPr>
          <w:rFonts w:asciiTheme="majorBidi" w:hAnsiTheme="majorBidi" w:cstheme="majorBidi"/>
        </w:rPr>
        <w:t>Demographics data</w:t>
      </w:r>
      <w:bookmarkEnd w:id="356"/>
      <w:r>
        <w:rPr>
          <w:rFonts w:asciiTheme="majorBidi" w:hAnsiTheme="majorBidi" w:cstheme="majorBidi"/>
        </w:rPr>
        <w:t xml:space="preserve"> </w:t>
      </w:r>
    </w:p>
    <w:p w14:paraId="7C455EA4" w14:textId="77777777" w:rsidR="00F073C0" w:rsidRPr="008819FD" w:rsidRDefault="00F073C0" w:rsidP="00AF08DA">
      <w:pPr>
        <w:pStyle w:val="Heading4"/>
        <w:rPr>
          <w:lang w:val="en-GB"/>
        </w:rPr>
      </w:pPr>
      <w:r>
        <w:t xml:space="preserve"> 6.3.2.1 Age</w:t>
      </w:r>
      <w:r>
        <w:rPr>
          <w:lang w:val="en-GB"/>
        </w:rPr>
        <w:t xml:space="preserve"> </w:t>
      </w:r>
    </w:p>
    <w:p w14:paraId="0C4CC03A" w14:textId="50769B0A" w:rsidR="00554F7D" w:rsidRPr="008819FD" w:rsidRDefault="00554F7D" w:rsidP="00554F7D">
      <w:pPr>
        <w:pStyle w:val="Caption"/>
        <w:rPr>
          <w:rFonts w:asciiTheme="majorBidi" w:hAnsiTheme="majorBidi" w:cstheme="majorBidi"/>
          <w:i/>
          <w:iCs/>
        </w:rPr>
      </w:pPr>
      <w:bookmarkStart w:id="357" w:name="_Toc217740508"/>
      <w:r>
        <w:rPr>
          <w:rFonts w:asciiTheme="majorBidi" w:hAnsiTheme="majorBidi" w:cstheme="majorBidi"/>
          <w:b/>
          <w:bCs w:val="0"/>
        </w:rPr>
        <w:t xml:space="preserve">Figure </w:t>
      </w:r>
      <w:r>
        <w:rPr>
          <w:rFonts w:asciiTheme="majorBidi" w:hAnsiTheme="majorBidi" w:cstheme="majorBidi"/>
          <w:b/>
          <w:bCs w:val="0"/>
        </w:rPr>
        <w:fldChar w:fldCharType="begin"/>
      </w:r>
      <w:r>
        <w:rPr>
          <w:rFonts w:asciiTheme="majorBidi" w:hAnsiTheme="majorBidi" w:cstheme="majorBidi"/>
          <w:b/>
          <w:bCs w:val="0"/>
        </w:rPr>
        <w:instrText xml:space="preserve"> SEQ Figure \* ARABIC </w:instrText>
      </w:r>
      <w:r>
        <w:rPr>
          <w:rFonts w:asciiTheme="majorBidi" w:hAnsiTheme="majorBidi" w:cstheme="majorBidi"/>
          <w:b/>
          <w:bCs w:val="0"/>
        </w:rPr>
        <w:fldChar w:fldCharType="separate"/>
      </w:r>
      <w:r w:rsidR="00B55114">
        <w:rPr>
          <w:rFonts w:asciiTheme="majorBidi" w:hAnsiTheme="majorBidi" w:cstheme="majorBidi"/>
          <w:b/>
          <w:bCs w:val="0"/>
          <w:noProof/>
        </w:rPr>
        <w:t>2</w:t>
      </w:r>
      <w:r>
        <w:rPr>
          <w:rFonts w:asciiTheme="majorBidi" w:hAnsiTheme="majorBidi" w:cstheme="majorBidi"/>
          <w:b/>
          <w:bCs w:val="0"/>
        </w:rPr>
        <w:fldChar w:fldCharType="end"/>
      </w:r>
      <w:r>
        <w:rPr>
          <w:rFonts w:asciiTheme="majorBidi" w:hAnsiTheme="majorBidi" w:cstheme="majorBidi"/>
        </w:rPr>
        <w:br/>
      </w:r>
      <w:bookmarkEnd w:id="357"/>
      <w:r>
        <w:rPr>
          <w:rFonts w:asciiTheme="majorBidi" w:hAnsiTheme="majorBidi" w:cstheme="majorBidi"/>
          <w:i/>
          <w:iCs/>
        </w:rPr>
        <w:t>Age Profile of Survey Participants</w:t>
      </w:r>
    </w:p>
    <w:p w14:paraId="77773447" w14:textId="77777777" w:rsidR="00554F7D" w:rsidRPr="008819FD" w:rsidRDefault="00554F7D" w:rsidP="00554F7D">
      <w:pPr>
        <w:rPr>
          <w:rFonts w:asciiTheme="majorBidi" w:hAnsiTheme="majorBidi" w:cstheme="majorBidi"/>
        </w:rPr>
      </w:pPr>
    </w:p>
    <w:p w14:paraId="331D8560" w14:textId="77777777" w:rsidR="00F073C0" w:rsidRPr="008819FD" w:rsidRDefault="00F073C0" w:rsidP="00C2531E">
      <w:pPr>
        <w:shd w:val="clear" w:color="auto" w:fill="FFFFFF"/>
        <w:spacing w:line="480" w:lineRule="auto"/>
        <w:rPr>
          <w:rFonts w:asciiTheme="majorBidi" w:eastAsia="Calibri" w:hAnsiTheme="majorBidi" w:cstheme="majorBidi"/>
          <w:color w:val="000000"/>
        </w:rPr>
      </w:pPr>
      <w:r>
        <w:rPr>
          <w:rFonts w:asciiTheme="majorBidi" w:eastAsia="Calibri" w:hAnsiTheme="majorBidi" w:cstheme="majorBidi"/>
          <w:noProof/>
          <w:color w:val="000000"/>
        </w:rPr>
        <w:drawing>
          <wp:inline distT="0" distB="0" distL="0" distR="0" wp14:anchorId="41EA142B" wp14:editId="4C147E00">
            <wp:extent cx="5943600" cy="2495550"/>
            <wp:effectExtent l="0" t="0" r="0" b="0"/>
            <wp:docPr id="1446986033" name="صورة 20" descr="صورة تحتوي على نص, لقطة شاشة, رسم بياني, الخط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86033" name="صورة 20" descr="صورة تحتوي على نص, لقطة شاشة, رسم بياني, الخط  قد يكون المحتوى الذي تم إنشاؤه بواسطة الذكاء الاصطناعي غير صحيح."/>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495550"/>
                    </a:xfrm>
                    <a:prstGeom prst="rect">
                      <a:avLst/>
                    </a:prstGeom>
                    <a:noFill/>
                    <a:ln>
                      <a:noFill/>
                    </a:ln>
                  </pic:spPr>
                </pic:pic>
              </a:graphicData>
            </a:graphic>
          </wp:inline>
        </w:drawing>
      </w:r>
    </w:p>
    <w:p w14:paraId="0E9277D7" w14:textId="77777777" w:rsidR="00F073C0" w:rsidRPr="008819FD" w:rsidRDefault="00F073C0" w:rsidP="00C2531E">
      <w:pPr>
        <w:rPr>
          <w:rFonts w:asciiTheme="majorBidi" w:hAnsiTheme="majorBidi" w:cstheme="majorBidi"/>
        </w:rPr>
      </w:pPr>
    </w:p>
    <w:p w14:paraId="240C1CEB"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The first survey question examined the age distribution of participants. The findings indicate that the largest proportion of respondents fell within the 30–35 age group, representing approximately 42% of the total sample. This was followed by participants aged 35–40, who accounted for around 35% of respondents. Participants aged 25–30 constituted </w:t>
      </w:r>
      <w:r>
        <w:rPr>
          <w:rFonts w:asciiTheme="majorBidi" w:eastAsia="Calibri" w:hAnsiTheme="majorBidi" w:cstheme="majorBidi"/>
          <w:color w:val="000000"/>
        </w:rPr>
        <w:lastRenderedPageBreak/>
        <w:t>approximately 15% of the sample, while those aged over 40 represented fewer than 7% of respondents. Notably, no participants were recorded in the 20–25 age category.</w:t>
      </w:r>
    </w:p>
    <w:p w14:paraId="7FBE247B"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These results demonstrate a clear concentration of respondents within the 30–40 age range, suggesting that practitioners in their early to late thirties form the dominant demographic engaged with or interested in online commercial arbitration in the United Arab Emirates. This age group is likely to combine professional experience with sufficient technological familiarity, which may influence both their exposure to online dispute resolution mechanisms and their willingness to engage with digital arbitration platforms.</w:t>
      </w:r>
    </w:p>
    <w:p w14:paraId="3C8A7CF8"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Within the context of the study </w:t>
      </w:r>
      <w:r>
        <w:rPr>
          <w:rFonts w:asciiTheme="majorBidi" w:eastAsia="Calibri" w:hAnsiTheme="majorBidi" w:cstheme="majorBidi"/>
          <w:i/>
          <w:iCs/>
          <w:color w:val="000000"/>
        </w:rPr>
        <w:t>“Online Commercial Arbitration in the United Arab Emirates: The Need for Legal Regulation,”</w:t>
      </w:r>
      <w:r>
        <w:rPr>
          <w:rFonts w:asciiTheme="majorBidi" w:eastAsia="Calibri" w:hAnsiTheme="majorBidi" w:cstheme="majorBidi"/>
          <w:color w:val="000000"/>
        </w:rPr>
        <w:t xml:space="preserve"> the age distribution provides valuable insight into participant attitudes toward online commercial arbitration. The prominence of respondents in the 30–35 age bracket may indicate a cohort that is both professionally active and receptive to innovation in dispute resolution. These individuals may have encountered challenges related to digital commercial transactions or may perceive online arbitration as an efficient and practical alternative to traditional arbitration procedures. Consequently, the age profile of respondents reinforces the relevance of examining regulatory frameworks that address the evolving needs and expectations of technologically engaged arbitration practitioners in the UAE.</w:t>
      </w:r>
    </w:p>
    <w:p w14:paraId="27E8FA5B"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In addition, the findings indicate that approximately 80% of the respondents fall within the 30–40 age range, reflecting a particularly strong level of engagement among individuals in their late thirties and early forties. This concentration suggests that practitioners within this age group demonstrate considerable interest in online commercial arbitration. Having accumulated both professional and personal experience in commercial transactions, they may </w:t>
      </w:r>
      <w:r>
        <w:rPr>
          <w:rFonts w:asciiTheme="majorBidi" w:eastAsia="Calibri" w:hAnsiTheme="majorBidi" w:cstheme="majorBidi"/>
          <w:color w:val="000000"/>
        </w:rPr>
        <w:lastRenderedPageBreak/>
        <w:t>be more likely to encounter disputes and, consequently, to view online arbitration as a practical and efficient alternative to conventional litigation and traditional arbitral procedures.</w:t>
      </w:r>
    </w:p>
    <w:p w14:paraId="2FD93ABE"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By contrast, respondents aged 40 and above were the least represented, accounting for fewer than 7% of the total sample. This limited participation may indicate lower levels of involvement in, or familiarity with, online commercial arbitration among older practitioners in the United Arab Emirates. Demographic factors, including differing levels of technological confidence and varying attitudes toward digital dispute resolution mechanisms, may influence how this age group perceives and adopts online arbitration.</w:t>
      </w:r>
    </w:p>
    <w:p w14:paraId="3BAF6204"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Furthermore, no respondents were recorded within the 20–25 age category, and participation among individuals aged 25–30 remained relatively modest. This underrepresentation may suggest that younger practitioners are less exposed to, or less knowledgeable about, online commercial arbitration, potentially due to limited professional experience, restricted engagement with complex commercial disputes, or a continued preference for traditional dispute resolution mechanisms. A lack of targeted awareness and training initiatives in this field may also contribute to lower participation among younger cohorts.</w:t>
      </w:r>
    </w:p>
    <w:p w14:paraId="525008DF" w14:textId="77777777" w:rsidR="00F073C0" w:rsidRPr="008819FD" w:rsidRDefault="00F073C0" w:rsidP="00926AEA">
      <w:pPr>
        <w:shd w:val="clear" w:color="auto" w:fill="FFFFFF"/>
        <w:spacing w:line="480" w:lineRule="auto"/>
        <w:ind w:firstLine="720"/>
        <w:rPr>
          <w:rFonts w:asciiTheme="majorBidi" w:eastAsia="Times New Roman" w:hAnsiTheme="majorBidi" w:cstheme="majorBidi"/>
        </w:rPr>
      </w:pPr>
      <w:r>
        <w:rPr>
          <w:rFonts w:asciiTheme="majorBidi" w:eastAsia="Calibri" w:hAnsiTheme="majorBidi" w:cstheme="majorBidi"/>
          <w:color w:val="000000"/>
        </w:rPr>
        <w:t xml:space="preserve">Overall, the survey highlights a clear age-related pattern in engagement with online commercial arbitration in the UAE. The dominant representation of respondents aged between 30 and 40 years underscores this group as the primary users and stakeholders in the development of online arbitration practices. Conversely, the minimal participation of younger and older age groups suggests the need for policymakers and arbitral institutions to consider age-related factors when promoting, regulating, and designing online arbitration frameworks. </w:t>
      </w:r>
      <w:r>
        <w:rPr>
          <w:rFonts w:asciiTheme="majorBidi" w:eastAsia="Calibri" w:hAnsiTheme="majorBidi" w:cstheme="majorBidi"/>
          <w:color w:val="000000"/>
        </w:rPr>
        <w:lastRenderedPageBreak/>
        <w:t xml:space="preserve">Such considerations are essential for ensuring broader awareness, accessibility, and acceptance of online commercial arbitration across diverse professional demographics in the UAE </w:t>
      </w:r>
      <w:r>
        <w:rPr>
          <w:rFonts w:asciiTheme="majorBidi" w:eastAsia="Calibri" w:hAnsiTheme="majorBidi" w:cstheme="majorBidi"/>
          <w:color w:val="000000"/>
          <w:vertAlign w:val="superscript"/>
        </w:rPr>
        <w:footnoteReference w:id="414"/>
      </w:r>
      <w:r>
        <w:rPr>
          <w:rFonts w:asciiTheme="majorBidi" w:eastAsia="Calibri" w:hAnsiTheme="majorBidi" w:cstheme="majorBidi"/>
          <w:color w:val="000000"/>
        </w:rPr>
        <w:t>.</w:t>
      </w:r>
      <w:r>
        <w:rPr>
          <w:rFonts w:asciiTheme="majorBidi" w:eastAsia="Times New Roman" w:hAnsiTheme="majorBidi" w:cstheme="majorBidi"/>
        </w:rPr>
        <w:t xml:space="preserve"> </w:t>
      </w:r>
    </w:p>
    <w:p w14:paraId="63712F8C" w14:textId="77777777" w:rsidR="00926AEA" w:rsidRPr="008819FD" w:rsidRDefault="00C614F4" w:rsidP="00AF08DA">
      <w:pPr>
        <w:pStyle w:val="Heading4"/>
      </w:pPr>
      <w:r>
        <w:t xml:space="preserve">6.3.2.2 Gender </w:t>
      </w:r>
    </w:p>
    <w:p w14:paraId="0839F437" w14:textId="45D251FF" w:rsidR="00926AEA" w:rsidRPr="008819FD" w:rsidRDefault="00926AEA" w:rsidP="00926AEA">
      <w:pPr>
        <w:pStyle w:val="Caption"/>
        <w:rPr>
          <w:rFonts w:asciiTheme="majorBidi" w:hAnsiTheme="majorBidi" w:cstheme="majorBidi"/>
        </w:rPr>
      </w:pPr>
      <w:bookmarkStart w:id="358" w:name="_Toc217740509"/>
      <w:r>
        <w:rPr>
          <w:rFonts w:asciiTheme="majorBidi" w:hAnsiTheme="majorBidi" w:cstheme="majorBidi"/>
          <w:b/>
          <w:bCs w:val="0"/>
        </w:rPr>
        <w:t xml:space="preserve">Figure </w:t>
      </w:r>
      <w:r>
        <w:rPr>
          <w:rFonts w:asciiTheme="majorBidi" w:hAnsiTheme="majorBidi" w:cstheme="majorBidi"/>
          <w:b/>
          <w:bCs w:val="0"/>
        </w:rPr>
        <w:fldChar w:fldCharType="begin"/>
      </w:r>
      <w:r>
        <w:rPr>
          <w:rFonts w:asciiTheme="majorBidi" w:hAnsiTheme="majorBidi" w:cstheme="majorBidi"/>
          <w:b/>
          <w:bCs w:val="0"/>
        </w:rPr>
        <w:instrText xml:space="preserve"> SEQ Figure \* ARABIC </w:instrText>
      </w:r>
      <w:r>
        <w:rPr>
          <w:rFonts w:asciiTheme="majorBidi" w:hAnsiTheme="majorBidi" w:cstheme="majorBidi"/>
          <w:b/>
          <w:bCs w:val="0"/>
        </w:rPr>
        <w:fldChar w:fldCharType="separate"/>
      </w:r>
      <w:r w:rsidR="00B55114">
        <w:rPr>
          <w:rFonts w:asciiTheme="majorBidi" w:hAnsiTheme="majorBidi" w:cstheme="majorBidi"/>
          <w:b/>
          <w:bCs w:val="0"/>
          <w:noProof/>
        </w:rPr>
        <w:t>3</w:t>
      </w:r>
      <w:r>
        <w:rPr>
          <w:rFonts w:asciiTheme="majorBidi" w:hAnsiTheme="majorBidi" w:cstheme="majorBidi"/>
          <w:b/>
          <w:bCs w:val="0"/>
        </w:rPr>
        <w:fldChar w:fldCharType="end"/>
      </w:r>
      <w:r>
        <w:rPr>
          <w:rFonts w:asciiTheme="majorBidi" w:hAnsiTheme="majorBidi" w:cstheme="majorBidi"/>
        </w:rPr>
        <w:br/>
      </w:r>
      <w:bookmarkEnd w:id="358"/>
      <w:r>
        <w:rPr>
          <w:rFonts w:asciiTheme="majorBidi" w:hAnsiTheme="majorBidi" w:cstheme="majorBidi"/>
          <w:i/>
          <w:iCs/>
        </w:rPr>
        <w:t>Gender Composition of Respondents</w:t>
      </w:r>
    </w:p>
    <w:p w14:paraId="325A9A1A" w14:textId="77777777" w:rsidR="00926AEA" w:rsidRPr="008819FD" w:rsidRDefault="00926AEA" w:rsidP="00926AEA">
      <w:pPr>
        <w:rPr>
          <w:rFonts w:asciiTheme="majorBidi" w:hAnsiTheme="majorBidi" w:cstheme="majorBidi"/>
          <w:rtl/>
        </w:rPr>
      </w:pPr>
    </w:p>
    <w:p w14:paraId="58D6B328" w14:textId="77777777" w:rsidR="00F073C0" w:rsidRPr="008819FD" w:rsidRDefault="00F073C0" w:rsidP="00C2531E">
      <w:pPr>
        <w:shd w:val="clear" w:color="auto" w:fill="FFFFFF"/>
        <w:spacing w:line="480" w:lineRule="auto"/>
        <w:rPr>
          <w:rFonts w:asciiTheme="majorBidi" w:eastAsia="Calibri" w:hAnsiTheme="majorBidi" w:cstheme="majorBidi"/>
          <w:color w:val="000000"/>
        </w:rPr>
      </w:pPr>
      <w:r>
        <w:rPr>
          <w:rFonts w:asciiTheme="majorBidi" w:eastAsia="Calibri" w:hAnsiTheme="majorBidi" w:cstheme="majorBidi"/>
          <w:noProof/>
          <w:color w:val="000000"/>
        </w:rPr>
        <w:drawing>
          <wp:inline distT="0" distB="0" distL="0" distR="0" wp14:anchorId="4932B1AC" wp14:editId="38D6EE00">
            <wp:extent cx="5943600" cy="2495550"/>
            <wp:effectExtent l="0" t="0" r="0" b="0"/>
            <wp:docPr id="1160438045" name="صورة 19" descr="صورة تحتوي على نص, لقطة شاشة, رسم بياني, الخط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438045" name="صورة 19" descr="صورة تحتوي على نص, لقطة شاشة, رسم بياني, الخط  قد يكون المحتوى الذي تم إنشاؤه بواسطة الذكاء الاصطناعي غير صحيح."/>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495550"/>
                    </a:xfrm>
                    <a:prstGeom prst="rect">
                      <a:avLst/>
                    </a:prstGeom>
                    <a:noFill/>
                    <a:ln>
                      <a:noFill/>
                    </a:ln>
                  </pic:spPr>
                </pic:pic>
              </a:graphicData>
            </a:graphic>
          </wp:inline>
        </w:drawing>
      </w:r>
    </w:p>
    <w:p w14:paraId="3FA3EBF5"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gender distribution of survey participants reveals a marked imbalance. Male respondents constituted most of the sample, accounting for 68.7% of all participants, while female respondents represented only 13.3%. This significant disparity highlights the underrepresentation of women in the survey and suggests gender-based differences in engagement with online commercial arbitration in the United Arab Emirates</w:t>
      </w:r>
      <w:r>
        <w:rPr>
          <w:rFonts w:asciiTheme="majorBidi" w:eastAsia="Calibri" w:hAnsiTheme="majorBidi" w:cstheme="majorBidi"/>
          <w:color w:val="000000"/>
          <w:vertAlign w:val="superscript"/>
        </w:rPr>
        <w:footnoteReference w:id="415"/>
      </w:r>
    </w:p>
    <w:p w14:paraId="0E9FFB76"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 xml:space="preserve">The disproportionate participation of male respondents may reflect broader structural characteristics of the legal, commercial, and arbitration sectors in the UAE, where men have traditionally occupied a larger share of professional roles. Consequently, male practitioners may have greater exposure to arbitration-related activities, including online dispute resolution mechanisms. Societal and cultural factors, including traditional gender norms and expectations, may further influence participation levels, particularly in areas involving commercial disputes and formal legal processes </w:t>
      </w:r>
      <w:r>
        <w:rPr>
          <w:rFonts w:asciiTheme="majorBidi" w:eastAsia="Calibri" w:hAnsiTheme="majorBidi" w:cstheme="majorBidi"/>
          <w:color w:val="000000"/>
          <w:vertAlign w:val="superscript"/>
        </w:rPr>
        <w:footnoteReference w:id="416"/>
      </w:r>
    </w:p>
    <w:p w14:paraId="2A7E8F19"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relatively low level of female participation does not necessarily indicate a lack of interest in online commercial arbitration but may instead point to systemic and contextual barriers. These may include limited access to professional networks, unequal representation across legal and commercial sectors, or fewer opportunities for women to engage directly with arbitration proceedings. Variations in professional specialization and awareness of online dispute resolution mechanisms may also contribute to the observed gender imbalance.</w:t>
      </w:r>
    </w:p>
    <w:p w14:paraId="54447285" w14:textId="77777777" w:rsidR="00042F57"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Overall, the findings suggest that gender remains an important demographic factor shaping engagement with online commercial arbitration in the UAE. The results underscore the need for greater inclusivity and targeted capacity-building initiatives aimed at increasing female participation in arbitration-related fields. Addressing gender-based disparities through education, professional development, and institutional support may enhance broader </w:t>
      </w:r>
      <w:r>
        <w:rPr>
          <w:rFonts w:asciiTheme="majorBidi" w:eastAsia="Calibri" w:hAnsiTheme="majorBidi" w:cstheme="majorBidi"/>
          <w:color w:val="000000"/>
        </w:rPr>
        <w:lastRenderedPageBreak/>
        <w:t xml:space="preserve">awareness, acceptance, and utilization of online commercial arbitration mechanisms within the UAE </w:t>
      </w:r>
      <w:r>
        <w:rPr>
          <w:rFonts w:asciiTheme="majorBidi" w:eastAsia="Calibri" w:hAnsiTheme="majorBidi" w:cstheme="majorBidi"/>
          <w:color w:val="000000"/>
          <w:vertAlign w:val="superscript"/>
        </w:rPr>
        <w:footnoteReference w:id="417"/>
      </w:r>
      <w:r>
        <w:rPr>
          <w:rFonts w:asciiTheme="majorBidi" w:eastAsia="Calibri" w:hAnsiTheme="majorBidi" w:cstheme="majorBidi"/>
          <w:color w:val="000000"/>
        </w:rPr>
        <w:t>.</w:t>
      </w:r>
    </w:p>
    <w:p w14:paraId="60EA3A3F" w14:textId="77777777" w:rsidR="00213C10" w:rsidRPr="008819FD" w:rsidRDefault="00213C10" w:rsidP="00E77165">
      <w:pPr>
        <w:shd w:val="clear" w:color="auto" w:fill="FFFFFF"/>
        <w:spacing w:line="480" w:lineRule="auto"/>
        <w:ind w:firstLine="720"/>
        <w:rPr>
          <w:rFonts w:asciiTheme="majorBidi" w:eastAsia="Calibri" w:hAnsiTheme="majorBidi" w:cstheme="majorBidi"/>
          <w:color w:val="000000"/>
        </w:rPr>
      </w:pPr>
    </w:p>
    <w:p w14:paraId="14C96C3D" w14:textId="77777777" w:rsidR="00F073C0" w:rsidRPr="008819FD" w:rsidRDefault="00F073C0" w:rsidP="00792217">
      <w:pPr>
        <w:shd w:val="clear" w:color="auto" w:fill="FFFFFF"/>
        <w:spacing w:line="480" w:lineRule="auto"/>
        <w:ind w:firstLine="360"/>
        <w:rPr>
          <w:rFonts w:asciiTheme="majorBidi" w:eastAsia="Calibri" w:hAnsiTheme="majorBidi" w:cstheme="majorBidi"/>
          <w:color w:val="000000"/>
        </w:rPr>
      </w:pPr>
    </w:p>
    <w:p w14:paraId="0E4A227A" w14:textId="77777777" w:rsidR="00F073C0" w:rsidRPr="008819FD" w:rsidRDefault="00C614F4" w:rsidP="00AF08DA">
      <w:pPr>
        <w:pStyle w:val="Heading4"/>
      </w:pPr>
      <w:bookmarkStart w:id="359" w:name="_Toc217491641"/>
      <w:r>
        <w:t>6.3.2.3 Years of experience</w:t>
      </w:r>
      <w:bookmarkEnd w:id="359"/>
      <w:r>
        <w:t xml:space="preserve">  </w:t>
      </w:r>
    </w:p>
    <w:p w14:paraId="4D194C48" w14:textId="58617684" w:rsidR="009E3FCD" w:rsidRPr="008819FD" w:rsidRDefault="009E3FCD" w:rsidP="009E3FCD">
      <w:pPr>
        <w:pStyle w:val="Caption"/>
        <w:rPr>
          <w:rFonts w:asciiTheme="majorBidi" w:hAnsiTheme="majorBidi" w:cstheme="majorBidi"/>
          <w:i/>
          <w:iCs/>
        </w:rPr>
      </w:pPr>
      <w:bookmarkStart w:id="360" w:name="_Toc217740510"/>
      <w:r>
        <w:rPr>
          <w:rFonts w:asciiTheme="majorBidi" w:hAnsiTheme="majorBidi" w:cstheme="majorBidi"/>
          <w:b/>
        </w:rPr>
        <w:t xml:space="preserve">Figure </w:t>
      </w:r>
      <w:r>
        <w:rPr>
          <w:rFonts w:asciiTheme="majorBidi" w:hAnsiTheme="majorBidi" w:cstheme="majorBidi"/>
          <w:b/>
        </w:rPr>
        <w:fldChar w:fldCharType="begin"/>
      </w:r>
      <w:r>
        <w:rPr>
          <w:rFonts w:asciiTheme="majorBidi" w:hAnsiTheme="majorBidi" w:cstheme="majorBidi"/>
          <w:b/>
        </w:rPr>
        <w:instrText xml:space="preserve"> SEQ Figure \* ARABIC </w:instrText>
      </w:r>
      <w:r>
        <w:rPr>
          <w:rFonts w:asciiTheme="majorBidi" w:hAnsiTheme="majorBidi" w:cstheme="majorBidi"/>
          <w:b/>
        </w:rPr>
        <w:fldChar w:fldCharType="separate"/>
      </w:r>
      <w:r w:rsidR="00B55114">
        <w:rPr>
          <w:rFonts w:asciiTheme="majorBidi" w:hAnsiTheme="majorBidi" w:cstheme="majorBidi"/>
          <w:b/>
          <w:noProof/>
        </w:rPr>
        <w:t>4</w:t>
      </w:r>
      <w:r>
        <w:rPr>
          <w:rFonts w:asciiTheme="majorBidi" w:hAnsiTheme="majorBidi" w:cstheme="majorBidi"/>
          <w:b/>
        </w:rPr>
        <w:fldChar w:fldCharType="end"/>
      </w:r>
      <w:r>
        <w:rPr>
          <w:rFonts w:asciiTheme="majorBidi" w:hAnsiTheme="majorBidi" w:cstheme="majorBidi"/>
        </w:rPr>
        <w:t xml:space="preserve"> </w:t>
      </w:r>
      <w:r>
        <w:rPr>
          <w:rFonts w:asciiTheme="majorBidi" w:hAnsiTheme="majorBidi" w:cstheme="majorBidi"/>
        </w:rPr>
        <w:br/>
      </w:r>
      <w:bookmarkEnd w:id="360"/>
      <w:r>
        <w:rPr>
          <w:rFonts w:asciiTheme="majorBidi" w:hAnsiTheme="majorBidi" w:cstheme="majorBidi"/>
          <w:i/>
          <w:iCs/>
        </w:rPr>
        <w:t>Distribution of Professional Experience Among Participants</w:t>
      </w:r>
    </w:p>
    <w:p w14:paraId="5E903534" w14:textId="77777777" w:rsidR="009E3FCD" w:rsidRPr="008819FD" w:rsidRDefault="009E3FCD" w:rsidP="009E3FCD">
      <w:pPr>
        <w:rPr>
          <w:rFonts w:asciiTheme="majorBidi" w:hAnsiTheme="majorBidi" w:cstheme="majorBidi"/>
        </w:rPr>
      </w:pPr>
    </w:p>
    <w:p w14:paraId="5D55FDEE" w14:textId="77777777" w:rsidR="00F073C0" w:rsidRPr="008819FD" w:rsidRDefault="00F073C0" w:rsidP="00C2531E">
      <w:pPr>
        <w:shd w:val="clear" w:color="auto" w:fill="FFFFFF"/>
        <w:spacing w:line="480" w:lineRule="auto"/>
        <w:rPr>
          <w:rFonts w:asciiTheme="majorBidi" w:eastAsia="Calibri" w:hAnsiTheme="majorBidi" w:cstheme="majorBidi"/>
          <w:color w:val="000000"/>
        </w:rPr>
      </w:pPr>
      <w:r>
        <w:rPr>
          <w:rFonts w:asciiTheme="majorBidi" w:eastAsia="Calibri" w:hAnsiTheme="majorBidi" w:cstheme="majorBidi"/>
          <w:noProof/>
          <w:color w:val="000000"/>
        </w:rPr>
        <w:drawing>
          <wp:inline distT="0" distB="0" distL="0" distR="0" wp14:anchorId="287539A9" wp14:editId="3431E30F">
            <wp:extent cx="5498962" cy="2050473"/>
            <wp:effectExtent l="0" t="0" r="6985" b="6985"/>
            <wp:docPr id="2033432781" name="صورة 18" descr="صورة تحتوي على نص, لقطة شاشة, رسم بياني, الخط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432781" name="صورة 18" descr="صورة تحتوي على نص, لقطة شاشة, رسم بياني, الخط  قد يكون المحتوى الذي تم إنشاؤه بواسطة الذكاء الاصطناعي غير صحيح."/>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44768" cy="2067553"/>
                    </a:xfrm>
                    <a:prstGeom prst="rect">
                      <a:avLst/>
                    </a:prstGeom>
                    <a:noFill/>
                    <a:ln>
                      <a:noFill/>
                    </a:ln>
                  </pic:spPr>
                </pic:pic>
              </a:graphicData>
            </a:graphic>
          </wp:inline>
        </w:drawing>
      </w:r>
    </w:p>
    <w:p w14:paraId="46FB7ED5" w14:textId="77777777" w:rsidR="00F073C0" w:rsidRPr="008819FD" w:rsidRDefault="00F073C0" w:rsidP="00C2531E">
      <w:pPr>
        <w:rPr>
          <w:rFonts w:asciiTheme="majorBidi" w:hAnsiTheme="majorBidi" w:cstheme="majorBidi"/>
        </w:rPr>
      </w:pPr>
    </w:p>
    <w:p w14:paraId="393D9662"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The analysis of participants’ professional experience reveals that the largest proportion of respondents—approximately 37%—possessed between eight and ten years of experience across a range of professional fields and business sectors. This indicates a strong representation of mid-career professionals within the sample. Respondents with more than ten years of experience constituted the second-largest group, accounting for approximately 24% of </w:t>
      </w:r>
      <w:r>
        <w:rPr>
          <w:rFonts w:asciiTheme="majorBidi" w:eastAsia="Calibri" w:hAnsiTheme="majorBidi" w:cstheme="majorBidi"/>
          <w:color w:val="000000"/>
        </w:rPr>
        <w:lastRenderedPageBreak/>
        <w:t>participants, while those with five to eight years of experience represented around 22%. By contrast, participants with limited professional experience were less represented: individuals with two to five years of experience accounted for approximately 13%, and those with zero to two years of experience formed the smallest group.</w:t>
      </w:r>
    </w:p>
    <w:p w14:paraId="0ABF01C0"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The prominence of respondents with eight to ten years of experience suggests that online commercial arbitration in the United Arab Emirates attracts professionals who have accumulated substantial practical exposure to commercial activities and dispute resolution processes. This cohort is likely to have encountered business-related disputes in their professional careers and, as a result, may possess a well-informed understanding of both the advantages and limitations of online arbitration mechanisms. Their participation may therefore significantly shape perceptions of the effectiveness, efficiency, and credibility of online commercial arbitration </w:t>
      </w:r>
      <w:r>
        <w:rPr>
          <w:rFonts w:asciiTheme="majorBidi" w:eastAsia="Calibri" w:hAnsiTheme="majorBidi" w:cstheme="majorBidi"/>
          <w:color w:val="000000"/>
          <w:vertAlign w:val="superscript"/>
        </w:rPr>
        <w:footnoteReference w:id="418"/>
      </w:r>
    </w:p>
    <w:p w14:paraId="5CB2D58D"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Participants with more than ten years of professional experience also formed a substantial segment of the sample. Their responses reflect the involvement of seasoned practitioners who have long-standing familiarity with traditional dispute resolution mechanisms and who may recognize the value of legislative development and regulatory clarity to support the institutionalization of online commercial arbitration. Their engagement indicates that experienced professionals do not necessarily resist technological innovation but may, instead, support structured legal frameworks that facilitate its adoption.</w:t>
      </w:r>
    </w:p>
    <w:p w14:paraId="53B761E8"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Respondents with five to eight years of experience represent a moderately experienced group whose participation highlights the growing relevance of online commercial arbitration </w:t>
      </w:r>
      <w:r>
        <w:rPr>
          <w:rFonts w:asciiTheme="majorBidi" w:eastAsia="Calibri" w:hAnsiTheme="majorBidi" w:cstheme="majorBidi"/>
          <w:color w:val="000000"/>
        </w:rPr>
        <w:lastRenderedPageBreak/>
        <w:t>among professionals who are still developing their careers but have already engaged with commercial disputes. This suggests an expanding awareness of online dispute resolution practices among practitioners who may view such mechanisms as aligned with the evolving digitalization of business transactions.</w:t>
      </w:r>
    </w:p>
    <w:p w14:paraId="3D33D966" w14:textId="77777777" w:rsidR="00042F57" w:rsidRPr="008819FD" w:rsidRDefault="002263B8" w:rsidP="00926AEA">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In contrast, participants with minimal professional experience were underrepresented. Individuals with zero to two years of experience are likely to be early-career professionals with limited exposure to complex commercial disputes or arbitration proceedings. Their lower participation may reflect restricted professional involvement, limited familiarity with online arbitration services, or a lack of opportunities to engage directly with dispute resolution processes. Overall, the distribution of professional experience among respondents suggests that online commercial arbitration in the UAE is predominantly shaped by mid- to senior-level professionals, indicating a maturing field that relies on accumulated expertise to manage complex legal and commercial issues effectively </w:t>
      </w:r>
      <w:r>
        <w:rPr>
          <w:rFonts w:asciiTheme="majorBidi" w:eastAsia="Calibri" w:hAnsiTheme="majorBidi" w:cstheme="majorBidi"/>
          <w:color w:val="000000"/>
          <w:vertAlign w:val="superscript"/>
        </w:rPr>
        <w:footnoteReference w:id="419"/>
      </w:r>
      <w:r>
        <w:rPr>
          <w:rFonts w:asciiTheme="majorBidi" w:eastAsia="Calibri" w:hAnsiTheme="majorBidi" w:cstheme="majorBidi"/>
          <w:color w:val="000000"/>
        </w:rPr>
        <w:t xml:space="preserve"> .</w:t>
      </w:r>
      <w:r>
        <w:rPr>
          <w:rFonts w:asciiTheme="majorBidi" w:eastAsia="Times New Roman" w:hAnsiTheme="majorBidi" w:cstheme="majorBidi"/>
        </w:rPr>
        <w:t xml:space="preserve"> </w:t>
      </w:r>
    </w:p>
    <w:p w14:paraId="0927E8E9" w14:textId="77777777" w:rsidR="00F073C0" w:rsidRPr="008819FD" w:rsidRDefault="00F073C0" w:rsidP="00792217">
      <w:pPr>
        <w:shd w:val="clear" w:color="auto" w:fill="FFFFFF"/>
        <w:spacing w:line="480" w:lineRule="auto"/>
        <w:ind w:firstLine="360"/>
        <w:rPr>
          <w:rFonts w:asciiTheme="majorBidi" w:eastAsia="Calibri" w:hAnsiTheme="majorBidi" w:cstheme="majorBidi"/>
          <w:color w:val="000000"/>
        </w:rPr>
      </w:pPr>
    </w:p>
    <w:p w14:paraId="5B1EF7BA" w14:textId="77777777" w:rsidR="00F073C0" w:rsidRPr="008819FD" w:rsidRDefault="00C614F4" w:rsidP="00AF08DA">
      <w:pPr>
        <w:pStyle w:val="Heading4"/>
      </w:pPr>
      <w:bookmarkStart w:id="361" w:name="_Toc217491642"/>
      <w:r>
        <w:t>6.3.2.4 Experience in Arbitration</w:t>
      </w:r>
      <w:bookmarkEnd w:id="361"/>
    </w:p>
    <w:p w14:paraId="4E12868B" w14:textId="374A368D" w:rsidR="00A87350" w:rsidRPr="008819FD" w:rsidRDefault="009E3FCD" w:rsidP="00A87350">
      <w:pPr>
        <w:shd w:val="clear" w:color="auto" w:fill="FFFFFF"/>
        <w:spacing w:line="240" w:lineRule="auto"/>
        <w:rPr>
          <w:rFonts w:asciiTheme="majorBidi" w:eastAsia="Calibri" w:hAnsiTheme="majorBidi" w:cstheme="majorBidi"/>
          <w:i/>
          <w:iCs/>
          <w:color w:val="000000"/>
          <w:rtl/>
        </w:rPr>
      </w:pPr>
      <w:bookmarkStart w:id="362" w:name="_Toc217740511"/>
      <w:r>
        <w:rPr>
          <w:rFonts w:asciiTheme="majorBidi" w:eastAsia="Calibri" w:hAnsiTheme="majorBidi" w:cstheme="majorBidi"/>
          <w:b/>
          <w:bCs/>
          <w:color w:val="000000"/>
        </w:rPr>
        <w:t xml:space="preserve">Figure </w:t>
      </w:r>
      <w:r>
        <w:rPr>
          <w:rFonts w:asciiTheme="majorBidi" w:eastAsia="Calibri" w:hAnsiTheme="majorBidi" w:cstheme="majorBidi"/>
          <w:b/>
          <w:bCs/>
          <w:color w:val="000000"/>
        </w:rPr>
        <w:fldChar w:fldCharType="begin"/>
      </w:r>
      <w:r>
        <w:rPr>
          <w:rFonts w:asciiTheme="majorBidi" w:eastAsia="Calibri" w:hAnsiTheme="majorBidi" w:cstheme="majorBidi"/>
          <w:b/>
          <w:bCs/>
          <w:color w:val="000000"/>
        </w:rPr>
        <w:instrText xml:space="preserve"> SEQ Figure \* ARABIC </w:instrText>
      </w:r>
      <w:r>
        <w:rPr>
          <w:rFonts w:asciiTheme="majorBidi" w:eastAsia="Calibri" w:hAnsiTheme="majorBidi" w:cstheme="majorBidi"/>
          <w:b/>
          <w:bCs/>
          <w:color w:val="000000"/>
        </w:rPr>
        <w:fldChar w:fldCharType="separate"/>
      </w:r>
      <w:r w:rsidR="00B55114">
        <w:rPr>
          <w:rFonts w:asciiTheme="majorBidi" w:eastAsia="Calibri" w:hAnsiTheme="majorBidi" w:cstheme="majorBidi"/>
          <w:b/>
          <w:bCs/>
          <w:noProof/>
          <w:color w:val="000000"/>
        </w:rPr>
        <w:t>5</w:t>
      </w:r>
      <w:r>
        <w:rPr>
          <w:rFonts w:asciiTheme="majorBidi" w:eastAsia="Calibri" w:hAnsiTheme="majorBidi" w:cstheme="majorBidi"/>
          <w:b/>
          <w:bCs/>
          <w:color w:val="000000"/>
        </w:rPr>
        <w:fldChar w:fldCharType="end"/>
      </w:r>
      <w:bookmarkEnd w:id="362"/>
      <w:r>
        <w:rPr>
          <w:rFonts w:asciiTheme="majorBidi" w:eastAsia="Calibri" w:hAnsiTheme="majorBidi" w:cstheme="majorBidi"/>
          <w:color w:val="000000"/>
          <w:rtl/>
        </w:rPr>
        <w:br/>
      </w:r>
      <w:r>
        <w:rPr>
          <w:rFonts w:asciiTheme="majorBidi" w:eastAsia="Calibri" w:hAnsiTheme="majorBidi" w:cstheme="majorBidi"/>
          <w:i/>
          <w:iCs/>
          <w:color w:val="000000"/>
        </w:rPr>
        <w:t xml:space="preserve">Extent of Professional Experience in Arbitration Practice </w:t>
      </w:r>
    </w:p>
    <w:p w14:paraId="37C05285" w14:textId="77777777" w:rsidR="009E3FCD" w:rsidRPr="008819FD" w:rsidRDefault="009E3FCD" w:rsidP="00A87350">
      <w:pPr>
        <w:shd w:val="clear" w:color="auto" w:fill="FFFFFF"/>
        <w:spacing w:line="240" w:lineRule="auto"/>
        <w:rPr>
          <w:rFonts w:asciiTheme="majorBidi" w:eastAsia="Calibri" w:hAnsiTheme="majorBidi" w:cstheme="majorBidi"/>
          <w:b/>
          <w:bCs/>
          <w:color w:val="000000"/>
          <w:u w:val="single"/>
        </w:rPr>
      </w:pPr>
      <w:r>
        <w:rPr>
          <w:rFonts w:asciiTheme="majorBidi" w:eastAsia="Calibri" w:hAnsiTheme="majorBidi" w:cstheme="majorBidi"/>
          <w:i/>
          <w:iCs/>
          <w:color w:val="000000"/>
        </w:rPr>
        <w:t>Source: Author.</w:t>
      </w:r>
    </w:p>
    <w:p w14:paraId="682A91DB" w14:textId="77777777" w:rsidR="00F073C0" w:rsidRPr="008819FD" w:rsidRDefault="00F073C0" w:rsidP="00C2531E">
      <w:pPr>
        <w:shd w:val="clear" w:color="auto" w:fill="FFFFFF"/>
        <w:spacing w:line="480" w:lineRule="auto"/>
        <w:rPr>
          <w:rFonts w:asciiTheme="majorBidi" w:eastAsia="Calibri" w:hAnsiTheme="majorBidi" w:cstheme="majorBidi"/>
          <w:color w:val="000000"/>
        </w:rPr>
      </w:pPr>
      <w:r>
        <w:rPr>
          <w:rFonts w:asciiTheme="majorBidi" w:eastAsia="Calibri" w:hAnsiTheme="majorBidi" w:cstheme="majorBidi"/>
          <w:noProof/>
          <w:color w:val="000000"/>
        </w:rPr>
        <w:lastRenderedPageBreak/>
        <w:drawing>
          <wp:inline distT="0" distB="0" distL="0" distR="0" wp14:anchorId="78E0880B" wp14:editId="58D006C8">
            <wp:extent cx="5943600" cy="2495550"/>
            <wp:effectExtent l="0" t="0" r="0" b="0"/>
            <wp:docPr id="854339327" name="صورة 17" descr="صورة تحتوي على نص, لقطة شاشة, رسم بياني, الخط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39327" name="صورة 17" descr="صورة تحتوي على نص, لقطة شاشة, رسم بياني, الخط  قد يكون المحتوى الذي تم إنشاؤه بواسطة الذكاء الاصطناعي غير صحيح."/>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495550"/>
                    </a:xfrm>
                    <a:prstGeom prst="rect">
                      <a:avLst/>
                    </a:prstGeom>
                    <a:noFill/>
                    <a:ln>
                      <a:noFill/>
                    </a:ln>
                  </pic:spPr>
                </pic:pic>
              </a:graphicData>
            </a:graphic>
          </wp:inline>
        </w:drawing>
      </w:r>
    </w:p>
    <w:p w14:paraId="442A5AB8"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pie chart illustrates the distribution of respondents according to their years of experience specifically in arbitration. The findings indicate that the largest proportion of participants—approximately 35%—reported having between zero and two years of arbitration experience. This was followed by respondents with two to five years of experience, who accounted for around 26% of the sample. Participants with five to eight years of arbitration experience represented approximately 24%, while those with eight to ten years constituted about 8.9%. The smallest proportion of respondents were those with more than ten years of experience in arbitration.</w:t>
      </w:r>
    </w:p>
    <w:p w14:paraId="27E72EB8"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high representation of participants with limited arbitration experience suggests that a substantial segment of the sample consists of individuals who are relatively new to the field. These respondents may have had limited exposure to arbitration proceedings or may be at an early stage of professional engagement with dispute resolution mechanisms. Their participation in the survey indicates a growing interest among less experienced practitioners in understanding the role, legitimacy, and regulatory needs of online commercial arbitration.</w:t>
      </w:r>
    </w:p>
    <w:p w14:paraId="6AF81591"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This trend may reflect the increasing prominence of arbitration particularly online arbitration as a viable mechanism for resolving commercial disputes in the United Arab Emirates. The accessibility and perceived efficiency of digital arbitration platforms may encourage early-career professionals to engage with arbitration processes at an earlier stage than was traditionally the case. Moreover, the substantial participation of respondents with limited experience suggests the availability of user-friendly platforms, training opportunities, or institutional frameworks that facilitate entry into the arbitration field.</w:t>
      </w:r>
    </w:p>
    <w:p w14:paraId="4A605BE1"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Overall, the distribution of arbitration experience highlights a dynamic and evolving arbitration landscape in the UAE, characterized by growing interest from newer practitioners alongside continued engagement from more experienced professionals. This reinforces the importance of establishing clear legal and regulatory frameworks to ensure that online commercial arbitration remains credible, accessible, and effective for practitioners at all stages of professional development.</w:t>
      </w:r>
    </w:p>
    <w:p w14:paraId="6DB1987C"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vertAlign w:val="superscript"/>
        </w:rPr>
        <w:footnoteReference w:id="420"/>
      </w:r>
      <w:r>
        <w:rPr>
          <w:rFonts w:asciiTheme="majorBidi" w:eastAsia="Calibri" w:hAnsiTheme="majorBidi" w:cstheme="majorBidi"/>
          <w:color w:val="000000"/>
        </w:rPr>
        <w:t>.</w:t>
      </w:r>
    </w:p>
    <w:p w14:paraId="5133AD67"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Coming only in second place was the group of respondents with two to five years’ experience, about 26%. The group which is comprised of a number of people who have some knowledge of arbitration proposes that this subject has started gaining popularity. They might have come across a huge number of intricacies and difficulties while working on numerous arbitration matters. It means that they would bring an opinion on the legal boundaries of online commercial arbitration to the debate. On the same note, it could demonstrate that there are </w:t>
      </w:r>
      <w:r>
        <w:rPr>
          <w:rFonts w:asciiTheme="majorBidi" w:eastAsia="Calibri" w:hAnsiTheme="majorBidi" w:cstheme="majorBidi"/>
          <w:color w:val="000000"/>
        </w:rPr>
        <w:lastRenderedPageBreak/>
        <w:t xml:space="preserve">more medium professionals in the United Arab Emirates contributing to the commercial arbitration development process </w:t>
      </w:r>
      <w:r>
        <w:rPr>
          <w:rFonts w:asciiTheme="majorBidi" w:eastAsia="Calibri" w:hAnsiTheme="majorBidi" w:cstheme="majorBidi"/>
          <w:color w:val="000000"/>
          <w:vertAlign w:val="superscript"/>
        </w:rPr>
        <w:footnoteReference w:id="421"/>
      </w:r>
    </w:p>
    <w:p w14:paraId="46903909"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Participants with five to eight years of experience in arbitration accounted for approximately 24% of the sample. This group is likely to have encountered complex legal issues, participated in a substantial number of arbitration proceedings, and developed a more advanced understanding of arbitral processes. Their engagement in the survey indicates a strong awareness of, and interest in, the need for legal regulation of online commercial arbitration, informed by direct professional experience. The presence of this cohort suggests that practitioners with practical exposure are actively contributing to the ongoing development and shaping of the commercial arbitration landscape in the United Arab Emirates.</w:t>
      </w:r>
    </w:p>
    <w:p w14:paraId="25E8E856"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By contrast, respondents with eight to ten years of arbitration experience represented only 8.9% of the total sample. This relatively low proportion suggests that more seasoned arbitration practitioners were underrepresented in the survey. Such individuals may have extensive experience either as arbitrators, legal representatives, or parties in arbitration proceedings, and their limited participation could be attributed to competing professional commitments, time constraints, or the comparatively smaller size of this expert group within the arbitration community. Nonetheless, their perspectives remain particularly valuable, highlighting the importance of continued efforts to engage highly experienced practitioners in empirical research on online arbitration and its regulatory development.</w:t>
      </w:r>
    </w:p>
    <w:p w14:paraId="7325EB74" w14:textId="77777777" w:rsidR="00B86644" w:rsidRPr="008819FD" w:rsidRDefault="00F073C0" w:rsidP="00B86644">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It's noteworthy that those with more than ten years of experience make up the lowest percentage of respondents. This finding suggests that only people with significant arbitration </w:t>
      </w:r>
      <w:r>
        <w:rPr>
          <w:rFonts w:asciiTheme="majorBidi" w:eastAsia="Calibri" w:hAnsiTheme="majorBidi" w:cstheme="majorBidi"/>
          <w:color w:val="000000"/>
        </w:rPr>
        <w:lastRenderedPageBreak/>
        <w:t>experience may have been able to participate in the poll. This could be due to a variety of reasons, including their busy schedules, involvement in other professional duties, or lack of knowledge or interest in online commercial arbitration.</w:t>
      </w:r>
    </w:p>
    <w:p w14:paraId="10C6B489" w14:textId="77777777" w:rsidR="00B86644" w:rsidRPr="008819FD" w:rsidRDefault="00B86644" w:rsidP="00B86644">
      <w:pPr>
        <w:shd w:val="clear" w:color="auto" w:fill="FFFFFF"/>
        <w:spacing w:line="480" w:lineRule="auto"/>
        <w:ind w:firstLine="720"/>
        <w:rPr>
          <w:rFonts w:asciiTheme="majorBidi" w:eastAsia="Calibri" w:hAnsiTheme="majorBidi" w:cstheme="majorBidi"/>
          <w:color w:val="000000"/>
        </w:rPr>
      </w:pPr>
    </w:p>
    <w:p w14:paraId="320894C2" w14:textId="77777777" w:rsidR="00B86644" w:rsidRPr="008819FD" w:rsidRDefault="00B86644" w:rsidP="00B86644">
      <w:pPr>
        <w:shd w:val="clear" w:color="auto" w:fill="FFFFFF"/>
        <w:spacing w:line="480" w:lineRule="auto"/>
        <w:ind w:firstLine="720"/>
        <w:rPr>
          <w:rFonts w:asciiTheme="majorBidi" w:eastAsia="Calibri" w:hAnsiTheme="majorBidi" w:cstheme="majorBidi"/>
          <w:color w:val="000000"/>
        </w:rPr>
      </w:pPr>
    </w:p>
    <w:p w14:paraId="0E3F97AB" w14:textId="77777777" w:rsidR="00B86644" w:rsidRPr="008819FD" w:rsidRDefault="00B86644" w:rsidP="00B86644">
      <w:pPr>
        <w:shd w:val="clear" w:color="auto" w:fill="FFFFFF"/>
        <w:spacing w:line="480" w:lineRule="auto"/>
        <w:ind w:firstLine="720"/>
        <w:rPr>
          <w:rFonts w:asciiTheme="majorBidi" w:eastAsia="Calibri" w:hAnsiTheme="majorBidi" w:cstheme="majorBidi"/>
          <w:color w:val="000000"/>
        </w:rPr>
      </w:pPr>
    </w:p>
    <w:p w14:paraId="38AA2FA6" w14:textId="77777777" w:rsidR="00B86644" w:rsidRPr="008819FD" w:rsidRDefault="00B86644" w:rsidP="00B86644">
      <w:pPr>
        <w:shd w:val="clear" w:color="auto" w:fill="FFFFFF"/>
        <w:spacing w:line="480" w:lineRule="auto"/>
        <w:ind w:firstLine="720"/>
        <w:rPr>
          <w:rFonts w:asciiTheme="majorBidi" w:eastAsia="Calibri" w:hAnsiTheme="majorBidi" w:cstheme="majorBidi"/>
          <w:color w:val="000000"/>
        </w:rPr>
      </w:pPr>
    </w:p>
    <w:p w14:paraId="73F2B371" w14:textId="77777777" w:rsidR="00B86644" w:rsidRPr="008819FD" w:rsidRDefault="00B86644" w:rsidP="00B86644">
      <w:pPr>
        <w:shd w:val="clear" w:color="auto" w:fill="FFFFFF"/>
        <w:spacing w:line="480" w:lineRule="auto"/>
        <w:ind w:firstLine="720"/>
        <w:rPr>
          <w:rFonts w:asciiTheme="majorBidi" w:eastAsia="Calibri" w:hAnsiTheme="majorBidi" w:cstheme="majorBidi"/>
          <w:color w:val="000000"/>
        </w:rPr>
      </w:pPr>
    </w:p>
    <w:p w14:paraId="40DAE279" w14:textId="77777777" w:rsidR="00B86644" w:rsidRPr="008819FD" w:rsidRDefault="00B86644" w:rsidP="00B86644">
      <w:pPr>
        <w:shd w:val="clear" w:color="auto" w:fill="FFFFFF"/>
        <w:spacing w:line="480" w:lineRule="auto"/>
        <w:ind w:firstLine="720"/>
        <w:rPr>
          <w:rFonts w:asciiTheme="majorBidi" w:eastAsia="Calibri" w:hAnsiTheme="majorBidi" w:cstheme="majorBidi"/>
          <w:color w:val="000000"/>
        </w:rPr>
      </w:pPr>
    </w:p>
    <w:p w14:paraId="282F0F81" w14:textId="77777777" w:rsidR="00B86644" w:rsidRPr="008819FD" w:rsidRDefault="00B86644" w:rsidP="00B86644">
      <w:pPr>
        <w:shd w:val="clear" w:color="auto" w:fill="FFFFFF"/>
        <w:spacing w:line="480" w:lineRule="auto"/>
        <w:ind w:firstLine="720"/>
        <w:rPr>
          <w:rFonts w:asciiTheme="majorBidi" w:eastAsia="Calibri" w:hAnsiTheme="majorBidi" w:cstheme="majorBidi"/>
          <w:color w:val="000000"/>
          <w:rtl/>
        </w:rPr>
      </w:pPr>
    </w:p>
    <w:p w14:paraId="30728FA5" w14:textId="77777777" w:rsidR="00D16921" w:rsidRPr="008819FD" w:rsidRDefault="00D16921" w:rsidP="00B86644">
      <w:pPr>
        <w:shd w:val="clear" w:color="auto" w:fill="FFFFFF"/>
        <w:spacing w:line="480" w:lineRule="auto"/>
        <w:ind w:firstLine="720"/>
        <w:rPr>
          <w:rFonts w:asciiTheme="majorBidi" w:eastAsia="Calibri" w:hAnsiTheme="majorBidi" w:cstheme="majorBidi"/>
          <w:color w:val="000000"/>
        </w:rPr>
      </w:pPr>
    </w:p>
    <w:p w14:paraId="35FD873B" w14:textId="77777777" w:rsidR="00F073C0" w:rsidRPr="008819FD" w:rsidRDefault="00F073C0" w:rsidP="00B86644">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 </w:t>
      </w:r>
    </w:p>
    <w:p w14:paraId="5A39B78D" w14:textId="77777777" w:rsidR="00BA5405" w:rsidRPr="008819FD" w:rsidRDefault="00213C10" w:rsidP="009F5ACD">
      <w:pPr>
        <w:pStyle w:val="Heading3"/>
        <w:rPr>
          <w:rFonts w:asciiTheme="majorBidi" w:hAnsiTheme="majorBidi" w:cstheme="majorBidi"/>
          <w:color w:val="000000"/>
        </w:rPr>
      </w:pPr>
      <w:bookmarkStart w:id="363" w:name="_Toc164363297"/>
      <w:bookmarkStart w:id="364" w:name="_Toc221804590"/>
      <w:bookmarkStart w:id="365" w:name="_Toc190813335"/>
      <w:bookmarkStart w:id="366" w:name="_Toc217491643"/>
      <w:r>
        <w:rPr>
          <w:rFonts w:asciiTheme="majorBidi" w:hAnsiTheme="majorBidi" w:cstheme="majorBidi"/>
        </w:rPr>
        <w:t>6.3.3 Online dispute resolution in the UAE</w:t>
      </w:r>
      <w:bookmarkEnd w:id="363"/>
      <w:bookmarkEnd w:id="364"/>
    </w:p>
    <w:p w14:paraId="7343833F" w14:textId="4708BD8E" w:rsidR="00D16921" w:rsidRPr="008819FD" w:rsidRDefault="00BA5405" w:rsidP="00D16921">
      <w:pPr>
        <w:shd w:val="clear" w:color="auto" w:fill="FFFFFF"/>
        <w:spacing w:line="240" w:lineRule="auto"/>
        <w:rPr>
          <w:rFonts w:asciiTheme="majorBidi" w:eastAsia="Calibri" w:hAnsiTheme="majorBidi" w:cstheme="majorBidi"/>
          <w:i/>
          <w:iCs/>
          <w:color w:val="000000"/>
          <w:rtl/>
        </w:rPr>
      </w:pPr>
      <w:bookmarkStart w:id="367" w:name="_Toc217740512"/>
      <w:r>
        <w:rPr>
          <w:rFonts w:asciiTheme="majorBidi" w:eastAsia="Calibri" w:hAnsiTheme="majorBidi" w:cstheme="majorBidi"/>
          <w:b/>
          <w:bCs/>
          <w:color w:val="000000"/>
        </w:rPr>
        <w:t xml:space="preserve">Figure </w:t>
      </w:r>
      <w:r>
        <w:rPr>
          <w:rFonts w:asciiTheme="majorBidi" w:eastAsia="Calibri" w:hAnsiTheme="majorBidi" w:cstheme="majorBidi"/>
          <w:b/>
          <w:bCs/>
          <w:color w:val="000000"/>
        </w:rPr>
        <w:fldChar w:fldCharType="begin"/>
      </w:r>
      <w:r>
        <w:rPr>
          <w:rFonts w:asciiTheme="majorBidi" w:eastAsia="Calibri" w:hAnsiTheme="majorBidi" w:cstheme="majorBidi"/>
          <w:b/>
          <w:bCs/>
          <w:color w:val="000000"/>
        </w:rPr>
        <w:instrText xml:space="preserve"> SEQ Figure \* ARABIC </w:instrText>
      </w:r>
      <w:r>
        <w:rPr>
          <w:rFonts w:asciiTheme="majorBidi" w:eastAsia="Calibri" w:hAnsiTheme="majorBidi" w:cstheme="majorBidi"/>
          <w:b/>
          <w:bCs/>
          <w:color w:val="000000"/>
        </w:rPr>
        <w:fldChar w:fldCharType="separate"/>
      </w:r>
      <w:r w:rsidR="00B55114">
        <w:rPr>
          <w:rFonts w:asciiTheme="majorBidi" w:eastAsia="Calibri" w:hAnsiTheme="majorBidi" w:cstheme="majorBidi"/>
          <w:b/>
          <w:bCs/>
          <w:noProof/>
          <w:color w:val="000000"/>
        </w:rPr>
        <w:t>6</w:t>
      </w:r>
      <w:r>
        <w:rPr>
          <w:rFonts w:asciiTheme="majorBidi" w:eastAsia="Calibri" w:hAnsiTheme="majorBidi" w:cstheme="majorBidi"/>
          <w:b/>
          <w:bCs/>
          <w:color w:val="000000"/>
        </w:rPr>
        <w:fldChar w:fldCharType="end"/>
      </w:r>
      <w:r>
        <w:rPr>
          <w:rFonts w:asciiTheme="majorBidi" w:eastAsia="Calibri" w:hAnsiTheme="majorBidi" w:cstheme="majorBidi"/>
          <w:color w:val="000000"/>
        </w:rPr>
        <w:br/>
      </w:r>
      <w:bookmarkEnd w:id="367"/>
      <w:r>
        <w:rPr>
          <w:rFonts w:asciiTheme="majorBidi" w:eastAsia="Calibri" w:hAnsiTheme="majorBidi" w:cstheme="majorBidi"/>
          <w:i/>
          <w:iCs/>
          <w:color w:val="000000"/>
        </w:rPr>
        <w:t xml:space="preserve">Perceived Effectiveness of Online Arbitration in Addressing Procedural Challenges </w:t>
      </w:r>
    </w:p>
    <w:p w14:paraId="000EFEBA" w14:textId="77777777" w:rsidR="00BA5405" w:rsidRPr="008819FD" w:rsidRDefault="00BA5405" w:rsidP="00D16921">
      <w:pPr>
        <w:shd w:val="clear" w:color="auto" w:fill="FFFFFF"/>
        <w:spacing w:line="240" w:lineRule="auto"/>
        <w:rPr>
          <w:rFonts w:asciiTheme="majorBidi" w:eastAsia="Calibri" w:hAnsiTheme="majorBidi" w:cstheme="majorBidi"/>
          <w:i/>
          <w:iCs/>
          <w:color w:val="000000"/>
        </w:rPr>
      </w:pPr>
      <w:r>
        <w:rPr>
          <w:rFonts w:asciiTheme="majorBidi" w:eastAsia="Calibri" w:hAnsiTheme="majorBidi" w:cstheme="majorBidi"/>
          <w:i/>
          <w:iCs/>
          <w:color w:val="000000"/>
        </w:rPr>
        <w:t>Source: Author.</w:t>
      </w:r>
    </w:p>
    <w:p w14:paraId="5A4EDC57" w14:textId="77777777" w:rsidR="00F073C0" w:rsidRPr="008819FD" w:rsidRDefault="00F073C0" w:rsidP="009F5ACD">
      <w:pPr>
        <w:pStyle w:val="Heading3"/>
        <w:rPr>
          <w:rFonts w:asciiTheme="majorBidi" w:hAnsiTheme="majorBidi" w:cstheme="majorBidi"/>
        </w:rPr>
      </w:pPr>
      <w:r>
        <w:rPr>
          <w:rFonts w:asciiTheme="majorBidi" w:eastAsia="Times New Roman" w:hAnsiTheme="majorBidi" w:cstheme="majorBidi"/>
        </w:rPr>
        <w:lastRenderedPageBreak/>
        <w:br/>
      </w:r>
      <w:bookmarkStart w:id="368" w:name="_Toc221804591"/>
      <w:bookmarkEnd w:id="365"/>
      <w:bookmarkEnd w:id="366"/>
      <w:r>
        <w:rPr>
          <w:rFonts w:asciiTheme="majorBidi" w:hAnsiTheme="majorBidi" w:cstheme="majorBidi"/>
          <w:noProof/>
        </w:rPr>
        <w:drawing>
          <wp:inline distT="0" distB="0" distL="0" distR="0" wp14:anchorId="3FA0F901" wp14:editId="7F35759E">
            <wp:extent cx="5943600" cy="2315183"/>
            <wp:effectExtent l="0" t="0" r="0" b="9525"/>
            <wp:docPr id="90653687" name="صورة 16" descr="صورة تحتوي على نص, لقطة شاشة, الخط, رسم بياني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3687" name="صورة 16" descr="صورة تحتوي على نص, لقطة شاشة, الخط, رسم بياني  قد يكون المحتوى الذي تم إنشاؤه بواسطة الذكاء الاصطناعي غير صحيح."/>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66701" cy="2324181"/>
                    </a:xfrm>
                    <a:prstGeom prst="rect">
                      <a:avLst/>
                    </a:prstGeom>
                    <a:noFill/>
                    <a:ln>
                      <a:noFill/>
                    </a:ln>
                  </pic:spPr>
                </pic:pic>
              </a:graphicData>
            </a:graphic>
          </wp:inline>
        </w:drawing>
      </w:r>
      <w:bookmarkEnd w:id="368"/>
    </w:p>
    <w:p w14:paraId="1E67ED58"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pie chart indicates that approximately 86% of the respondents agree that online arbitration plays a significant role in addressing the limitations associated with traditional adjudication. The remaining participants were divided between neutral and disagreeing responses, representing only a small proportion of the overall sample.</w:t>
      </w:r>
    </w:p>
    <w:p w14:paraId="14091420"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This strong level of agreement suggests a broad consensus among practitioners regarding the potential of online arbitration to mitigate challenges commonly associated with conventional dispute resolution mechanisms. Respondents appear to perceive online arbitration as offering key advantages, including procedural efficiency, reduced costs, improved accessibility, and the ability to resolve disputes without the need for physical attendance. Such benefits are particularly relevant in the context of increasingly digitalized commercial transactions and cross-border business activities.</w:t>
      </w:r>
    </w:p>
    <w:p w14:paraId="3B55CA38"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The findings further reflect a wider societal shift toward reliance on digital platforms across various professional domains, including legal and judicial processes. As stakeholders become more accustomed to conducting business and legal interactions online, confidence in online arbitration as a viable and effective alternative to traditional adjudication appears to </w:t>
      </w:r>
      <w:r>
        <w:rPr>
          <w:rFonts w:asciiTheme="majorBidi" w:eastAsia="Calibri" w:hAnsiTheme="majorBidi" w:cstheme="majorBidi"/>
          <w:color w:val="000000"/>
        </w:rPr>
        <w:lastRenderedPageBreak/>
        <w:t>increase. Consequently, the high level of agreement observed in this survey underscores the growing acceptance of online arbitration as a practical response to the procedural and logistical shortcomings of traditional dispute resolution methods.</w:t>
      </w:r>
      <w:r>
        <w:rPr>
          <w:rFonts w:asciiTheme="majorBidi" w:eastAsia="Calibri" w:hAnsiTheme="majorBidi" w:cstheme="majorBidi"/>
          <w:color w:val="000000"/>
          <w:vertAlign w:val="superscript"/>
        </w:rPr>
        <w:footnoteReference w:id="422"/>
      </w:r>
    </w:p>
    <w:p w14:paraId="653BA1D4"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Respondents who selected a neutral position may have done so due to limited familiarity with online arbitration or uncertainty regarding its practical implementation. This group may require additional information, empirical evidence, or practical exposure before forming a definitive opinion on the effectiveness and legitimacy of online arbitration mechanisms.</w:t>
      </w:r>
    </w:p>
    <w:p w14:paraId="3BBC39E7"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Conversely, participants who disagreed with the role of online arbitration may hold reservations concerning its efficiency or procedural fairness. Such concerns may relate to the absence of face-to-face interaction, potential technical failures, cybersecurity and data protection risks, or perceived gaps in regulatory safeguards. These respondents may demonstrate a preference for traditional adjudication or conventional arbitration processes, which they regard as more established, reliable, and procedurally secure due to their long-standing integration within formal legal systems.</w:t>
      </w:r>
    </w:p>
    <w:p w14:paraId="3F061E5F"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Overall, these responses highlight that, despite widespread support for online arbitration, certain segments of the arbitration community remain cautious. Their concerns underscore the importance of clear legal regulation, robust technological safeguards, and </w:t>
      </w:r>
      <w:r>
        <w:rPr>
          <w:rFonts w:asciiTheme="majorBidi" w:eastAsia="Calibri" w:hAnsiTheme="majorBidi" w:cstheme="majorBidi"/>
          <w:color w:val="000000"/>
        </w:rPr>
        <w:lastRenderedPageBreak/>
        <w:t>greater awareness initiatives to enhance trust and confidence in online dispute resolution mechanisms.</w:t>
      </w:r>
      <w:r>
        <w:rPr>
          <w:rFonts w:asciiTheme="majorBidi" w:eastAsia="Calibri" w:hAnsiTheme="majorBidi" w:cstheme="majorBidi"/>
          <w:color w:val="000000"/>
          <w:vertAlign w:val="superscript"/>
        </w:rPr>
        <w:footnoteReference w:id="423"/>
      </w:r>
    </w:p>
    <w:p w14:paraId="68C7F8FA"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relatively small proportion of respondents who expressed neutral or negative views regarding the role of online arbitration in addressing the limitations of traditional adjudication may be attributable to several factors. Some participants may harbor concerns about the security and confidentiality of online arbitration proceedings, particularly in relation to data protection and the risk of unauthorised access. Others may question the capacity of virtual platforms to manage complex legal disputes effectively, especially where issues of procedural fairness, evidentiary assessment, or party interaction are involved.</w:t>
      </w:r>
    </w:p>
    <w:p w14:paraId="5AA7802F" w14:textId="77777777" w:rsidR="00042F57" w:rsidRPr="008819FD" w:rsidRDefault="00F073C0" w:rsidP="00926AEA">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These considerations may have influenced respondents’ cautious or critical positions and contribute to the diversity of perspectives reflected in the survey findings. The presence of such views underscores that, despite broad support for online arbitration, certain challenges remain that must be addressed through robust technological safeguards, clearer regulatory frameworks, and increased practitioner awareness in order to strengthen confidence in online dispute resolution mechanisms</w:t>
      </w:r>
      <w:r>
        <w:rPr>
          <w:rFonts w:asciiTheme="majorBidi" w:eastAsia="Calibri" w:hAnsiTheme="majorBidi" w:cstheme="majorBidi"/>
          <w:color w:val="000000"/>
          <w:vertAlign w:val="superscript"/>
        </w:rPr>
        <w:footnoteReference w:id="424"/>
      </w:r>
      <w:r>
        <w:rPr>
          <w:rFonts w:asciiTheme="majorBidi" w:eastAsia="Calibri" w:hAnsiTheme="majorBidi" w:cstheme="majorBidi"/>
          <w:color w:val="000000"/>
        </w:rPr>
        <w:t>.</w:t>
      </w:r>
      <w:r>
        <w:rPr>
          <w:rFonts w:asciiTheme="majorBidi" w:eastAsia="Times New Roman" w:hAnsiTheme="majorBidi" w:cstheme="majorBidi"/>
        </w:rPr>
        <w:t xml:space="preserve"> </w:t>
      </w:r>
    </w:p>
    <w:p w14:paraId="66ED8475" w14:textId="77777777" w:rsidR="00F073C0" w:rsidRPr="008819FD" w:rsidRDefault="00F073C0" w:rsidP="00792217">
      <w:pPr>
        <w:shd w:val="clear" w:color="auto" w:fill="FFFFFF"/>
        <w:spacing w:line="480" w:lineRule="auto"/>
        <w:ind w:firstLine="360"/>
        <w:rPr>
          <w:rFonts w:asciiTheme="majorBidi" w:eastAsia="Calibri" w:hAnsiTheme="majorBidi" w:cstheme="majorBidi"/>
          <w:color w:val="000000"/>
        </w:rPr>
      </w:pPr>
    </w:p>
    <w:p w14:paraId="40FF603C" w14:textId="77777777" w:rsidR="00B86644" w:rsidRPr="008819FD" w:rsidRDefault="00B86644" w:rsidP="00792217">
      <w:pPr>
        <w:shd w:val="clear" w:color="auto" w:fill="FFFFFF"/>
        <w:spacing w:line="480" w:lineRule="auto"/>
        <w:ind w:firstLine="360"/>
        <w:rPr>
          <w:rFonts w:asciiTheme="majorBidi" w:eastAsia="Calibri" w:hAnsiTheme="majorBidi" w:cstheme="majorBidi"/>
          <w:color w:val="000000"/>
        </w:rPr>
      </w:pPr>
    </w:p>
    <w:p w14:paraId="201BAE92" w14:textId="77777777" w:rsidR="00F073C0" w:rsidRPr="008819FD" w:rsidRDefault="00F073C0" w:rsidP="009F5ACD">
      <w:pPr>
        <w:pStyle w:val="Heading3"/>
        <w:rPr>
          <w:rFonts w:asciiTheme="majorBidi" w:hAnsiTheme="majorBidi" w:cstheme="majorBidi"/>
        </w:rPr>
      </w:pPr>
      <w:bookmarkStart w:id="369" w:name="_Toc217491644"/>
      <w:r>
        <w:rPr>
          <w:rFonts w:asciiTheme="majorBidi" w:hAnsiTheme="majorBidi" w:cstheme="majorBidi"/>
        </w:rPr>
        <w:t xml:space="preserve"> </w:t>
      </w:r>
      <w:bookmarkStart w:id="370" w:name="_Toc221804592"/>
      <w:r>
        <w:rPr>
          <w:rFonts w:asciiTheme="majorBidi" w:hAnsiTheme="majorBidi" w:cstheme="majorBidi"/>
        </w:rPr>
        <w:t>6.3.4 Satisfaction with the online arbitration process?</w:t>
      </w:r>
      <w:bookmarkEnd w:id="369"/>
      <w:bookmarkEnd w:id="370"/>
    </w:p>
    <w:p w14:paraId="6104E989" w14:textId="3B67F766" w:rsidR="00155BA1" w:rsidRPr="008819FD" w:rsidRDefault="00992FBA" w:rsidP="00155BA1">
      <w:pPr>
        <w:spacing w:line="240" w:lineRule="auto"/>
        <w:rPr>
          <w:rFonts w:asciiTheme="majorBidi" w:eastAsia="Calibri" w:hAnsiTheme="majorBidi" w:cstheme="majorBidi"/>
          <w:i/>
          <w:iCs/>
          <w:color w:val="000000"/>
          <w:rtl/>
        </w:rPr>
      </w:pPr>
      <w:bookmarkStart w:id="371" w:name="_Toc217740513"/>
      <w:r>
        <w:rPr>
          <w:rFonts w:asciiTheme="majorBidi" w:eastAsia="Calibri" w:hAnsiTheme="majorBidi" w:cstheme="majorBidi"/>
          <w:b/>
          <w:bCs/>
          <w:color w:val="000000"/>
        </w:rPr>
        <w:t xml:space="preserve">Figure </w:t>
      </w:r>
      <w:r>
        <w:rPr>
          <w:rFonts w:asciiTheme="majorBidi" w:eastAsia="Calibri" w:hAnsiTheme="majorBidi" w:cstheme="majorBidi"/>
          <w:b/>
          <w:bCs/>
          <w:color w:val="000000"/>
        </w:rPr>
        <w:fldChar w:fldCharType="begin"/>
      </w:r>
      <w:r>
        <w:rPr>
          <w:rFonts w:asciiTheme="majorBidi" w:eastAsia="Calibri" w:hAnsiTheme="majorBidi" w:cstheme="majorBidi"/>
          <w:b/>
          <w:bCs/>
          <w:color w:val="000000"/>
        </w:rPr>
        <w:instrText xml:space="preserve"> SEQ Figure \* ARABIC </w:instrText>
      </w:r>
      <w:r>
        <w:rPr>
          <w:rFonts w:asciiTheme="majorBidi" w:eastAsia="Calibri" w:hAnsiTheme="majorBidi" w:cstheme="majorBidi"/>
          <w:b/>
          <w:bCs/>
          <w:color w:val="000000"/>
        </w:rPr>
        <w:fldChar w:fldCharType="separate"/>
      </w:r>
      <w:r w:rsidR="00B55114">
        <w:rPr>
          <w:rFonts w:asciiTheme="majorBidi" w:eastAsia="Calibri" w:hAnsiTheme="majorBidi" w:cstheme="majorBidi"/>
          <w:b/>
          <w:bCs/>
          <w:noProof/>
          <w:color w:val="000000"/>
        </w:rPr>
        <w:t>7</w:t>
      </w:r>
      <w:r>
        <w:rPr>
          <w:rFonts w:asciiTheme="majorBidi" w:eastAsia="Calibri" w:hAnsiTheme="majorBidi" w:cstheme="majorBidi"/>
          <w:b/>
          <w:bCs/>
          <w:color w:val="000000"/>
        </w:rPr>
        <w:fldChar w:fldCharType="end"/>
      </w:r>
      <w:r>
        <w:rPr>
          <w:rFonts w:asciiTheme="majorBidi" w:eastAsia="Calibri" w:hAnsiTheme="majorBidi" w:cstheme="majorBidi"/>
          <w:b/>
          <w:bCs/>
          <w:color w:val="000000"/>
        </w:rPr>
        <w:br/>
      </w:r>
      <w:bookmarkEnd w:id="371"/>
      <w:r>
        <w:rPr>
          <w:rFonts w:asciiTheme="majorBidi" w:eastAsia="Calibri" w:hAnsiTheme="majorBidi" w:cstheme="majorBidi"/>
          <w:i/>
          <w:iCs/>
          <w:color w:val="000000"/>
        </w:rPr>
        <w:t xml:space="preserve">Overall Satisfaction Levels with Online Arbitration Proceedings </w:t>
      </w:r>
    </w:p>
    <w:p w14:paraId="14800616" w14:textId="77777777" w:rsidR="00992FBA" w:rsidRPr="008819FD" w:rsidRDefault="00992FBA" w:rsidP="00155BA1">
      <w:pPr>
        <w:spacing w:line="240" w:lineRule="auto"/>
        <w:rPr>
          <w:rFonts w:asciiTheme="majorBidi" w:hAnsiTheme="majorBidi" w:cstheme="majorBidi"/>
          <w:i/>
          <w:iCs/>
        </w:rPr>
      </w:pPr>
      <w:r>
        <w:rPr>
          <w:rFonts w:asciiTheme="majorBidi" w:eastAsia="Calibri" w:hAnsiTheme="majorBidi" w:cstheme="majorBidi"/>
          <w:i/>
          <w:iCs/>
          <w:color w:val="000000"/>
        </w:rPr>
        <w:lastRenderedPageBreak/>
        <w:t>Source: Author</w:t>
      </w:r>
    </w:p>
    <w:p w14:paraId="0E764141" w14:textId="77777777" w:rsidR="00F073C0" w:rsidRPr="008819FD" w:rsidRDefault="00F073C0" w:rsidP="00992FBA">
      <w:pPr>
        <w:shd w:val="clear" w:color="auto" w:fill="FFFFFF"/>
        <w:spacing w:line="480" w:lineRule="auto"/>
        <w:rPr>
          <w:rFonts w:asciiTheme="majorBidi" w:eastAsia="Calibri" w:hAnsiTheme="majorBidi" w:cstheme="majorBidi"/>
          <w:color w:val="000000"/>
        </w:rPr>
      </w:pPr>
      <w:r>
        <w:rPr>
          <w:rFonts w:asciiTheme="majorBidi" w:eastAsia="Calibri" w:hAnsiTheme="majorBidi" w:cstheme="majorBidi"/>
          <w:noProof/>
          <w:color w:val="000000"/>
        </w:rPr>
        <w:drawing>
          <wp:inline distT="0" distB="0" distL="0" distR="0" wp14:anchorId="6EDB5685" wp14:editId="6F9321CD">
            <wp:extent cx="5943600" cy="2495550"/>
            <wp:effectExtent l="0" t="0" r="0" b="0"/>
            <wp:docPr id="396639029" name="صورة 15" descr="صورة تحتوي على نص, لقطة شاشة, رسم بياني, الخط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39029" name="صورة 15" descr="صورة تحتوي على نص, لقطة شاشة, رسم بياني, الخط  قد يكون المحتوى الذي تم إنشاؤه بواسطة الذكاء الاصطناعي غير صحيح."/>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495550"/>
                    </a:xfrm>
                    <a:prstGeom prst="rect">
                      <a:avLst/>
                    </a:prstGeom>
                    <a:noFill/>
                    <a:ln>
                      <a:noFill/>
                    </a:ln>
                  </pic:spPr>
                </pic:pic>
              </a:graphicData>
            </a:graphic>
          </wp:inline>
        </w:drawing>
      </w:r>
    </w:p>
    <w:p w14:paraId="69B2041F"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findings indicate that a substantial proportion of respondents expressed moderate satisfaction with the online arbitration process. Approximately 48.9% of participants rated their overall satisfaction at level 3 on the measurement scale, suggesting a neutral or average level of satisfaction. This rating implies that, for many respondents, the online arbitration process was generally acceptable and functional, without presenting significant shortcomings, yet it did not exceed expectations or provide particularly strong positive impressions. These participants may have perceived the process as effective in resolving disputes but lacking additional features or refinements that would elevate their level of satisfaction.</w:t>
      </w:r>
    </w:p>
    <w:p w14:paraId="6D550B3A"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The prevalence of neutral ratings may reflect several contributing factors, including perceptions of arbitrators’ effectiveness, procedural impartiality, and the overall speed of proceedings. A rating of 3 may therefore indicate that the process met basic standards of efficiency and fairness but did not deliver a notably enhanced user experience. Such responses suggest that while online arbitration is viewed as viable, there remains room for improvement </w:t>
      </w:r>
      <w:r>
        <w:rPr>
          <w:rFonts w:asciiTheme="majorBidi" w:eastAsia="Calibri" w:hAnsiTheme="majorBidi" w:cstheme="majorBidi"/>
          <w:color w:val="000000"/>
        </w:rPr>
        <w:lastRenderedPageBreak/>
        <w:t>in its execution and delivery</w:t>
      </w:r>
      <w:r>
        <w:rPr>
          <w:rFonts w:asciiTheme="majorBidi" w:eastAsia="Calibri" w:hAnsiTheme="majorBidi" w:cstheme="majorBidi"/>
          <w:color w:val="000000"/>
          <w:vertAlign w:val="superscript"/>
        </w:rPr>
        <w:footnoteReference w:id="425"/>
      </w:r>
      <w:r>
        <w:rPr>
          <w:rFonts w:asciiTheme="majorBidi" w:eastAsia="Calibri" w:hAnsiTheme="majorBidi" w:cstheme="majorBidi"/>
          <w:color w:val="000000"/>
        </w:rPr>
        <w:t>. At the same time, a considerable proportion of respondents awarded higher satisfaction ratings of 4 or 5, indicating generally positive experiences with online arbitration. These higher ratings suggest that many participants found the process efficient, convenient, and effective, appreciating advantages such as ease of access, reduced procedural delays, competent arbitrators, and successful dispute outcomes. A rating of 4 reflects a strong level of satisfaction, albeit with recognition that further improvements could still be made, whereas a rating of 5 demonstrates full endorsement and a high degree of confidence in the online arbitration process</w:t>
      </w:r>
      <w:r>
        <w:rPr>
          <w:rFonts w:asciiTheme="majorBidi" w:eastAsia="Calibri" w:hAnsiTheme="majorBidi" w:cstheme="majorBidi"/>
          <w:color w:val="000000"/>
          <w:vertAlign w:val="superscript"/>
        </w:rPr>
        <w:footnoteReference w:id="426"/>
      </w:r>
      <w:r>
        <w:rPr>
          <w:rFonts w:asciiTheme="majorBidi" w:eastAsia="Calibri" w:hAnsiTheme="majorBidi" w:cstheme="majorBidi"/>
          <w:color w:val="000000"/>
        </w:rPr>
        <w:t>. Conversely, a smaller number of participants reported low satisfaction levels, assigning ratings of 1 or 2. These responses indicate dissatisfaction and suggest that some users encountered notable challenges or negative experiences during online arbitration proceedings. Such concerns may relate to procedural issues, perceived bias, lack of transparency, technical difficulties, or dissatisfaction with arbitration outcomes. Although limited in number, these critical responses are particularly valuable, as they highlight areas requiring attention and improvement to enhance the overall credibility, fairness, and effectiveness of online arbitration.</w:t>
      </w:r>
    </w:p>
    <w:p w14:paraId="729C9479" w14:textId="77777777" w:rsidR="00042F57" w:rsidRPr="008819FD" w:rsidRDefault="00F073C0" w:rsidP="00926AEA">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Overall, the distribution of satisfaction ratings reflects a cautiously positive assessment of online arbitration among respondents. While many participants view the process as effective and beneficial, the significant proportion of neutral responses underscores the need for continued refinement, clearer procedural standards, and stronger regulatory and </w:t>
      </w:r>
      <w:r>
        <w:rPr>
          <w:rFonts w:asciiTheme="majorBidi" w:eastAsia="Calibri" w:hAnsiTheme="majorBidi" w:cstheme="majorBidi"/>
          <w:color w:val="000000"/>
        </w:rPr>
        <w:lastRenderedPageBreak/>
        <w:t>institutional support to further improve user satisfaction and confidence in online arbitration within the United Arab Emirates</w:t>
      </w:r>
      <w:r>
        <w:rPr>
          <w:rFonts w:asciiTheme="majorBidi" w:eastAsia="Calibri" w:hAnsiTheme="majorBidi" w:cstheme="majorBidi"/>
          <w:color w:val="000000"/>
          <w:vertAlign w:val="superscript"/>
        </w:rPr>
        <w:footnoteReference w:id="427"/>
      </w:r>
      <w:r>
        <w:rPr>
          <w:rFonts w:asciiTheme="majorBidi" w:eastAsia="Calibri" w:hAnsiTheme="majorBidi" w:cstheme="majorBidi"/>
          <w:color w:val="000000"/>
        </w:rPr>
        <w:t>.</w:t>
      </w:r>
      <w:r>
        <w:rPr>
          <w:rFonts w:asciiTheme="majorBidi" w:eastAsia="Times New Roman" w:hAnsiTheme="majorBidi" w:cstheme="majorBidi"/>
        </w:rPr>
        <w:t xml:space="preserve"> </w:t>
      </w:r>
    </w:p>
    <w:p w14:paraId="7BF8CF14" w14:textId="77777777" w:rsidR="00F073C0" w:rsidRPr="008819FD" w:rsidRDefault="00213C10" w:rsidP="009F5ACD">
      <w:pPr>
        <w:pStyle w:val="Heading3"/>
        <w:rPr>
          <w:rFonts w:asciiTheme="majorBidi" w:hAnsiTheme="majorBidi" w:cstheme="majorBidi"/>
        </w:rPr>
      </w:pPr>
      <w:bookmarkStart w:id="372" w:name="_Toc221804593"/>
      <w:bookmarkStart w:id="373" w:name="_Toc217491645"/>
      <w:r>
        <w:rPr>
          <w:rFonts w:asciiTheme="majorBidi" w:hAnsiTheme="majorBidi" w:cstheme="majorBidi"/>
        </w:rPr>
        <w:t>6.3.5 Protocols</w:t>
      </w:r>
      <w:bookmarkEnd w:id="372"/>
      <w:r>
        <w:rPr>
          <w:rFonts w:asciiTheme="majorBidi" w:hAnsiTheme="majorBidi" w:cstheme="majorBidi"/>
        </w:rPr>
        <w:t xml:space="preserve"> </w:t>
      </w:r>
      <w:bookmarkEnd w:id="373"/>
    </w:p>
    <w:p w14:paraId="132D2C7A" w14:textId="33712C02" w:rsidR="002B732E" w:rsidRPr="008819FD" w:rsidRDefault="00926AEA" w:rsidP="002B732E">
      <w:pPr>
        <w:shd w:val="clear" w:color="auto" w:fill="FFFFFF"/>
        <w:spacing w:line="240" w:lineRule="auto"/>
        <w:rPr>
          <w:rFonts w:asciiTheme="majorBidi" w:eastAsia="Calibri" w:hAnsiTheme="majorBidi" w:cstheme="majorBidi"/>
          <w:i/>
          <w:iCs/>
          <w:color w:val="000000"/>
          <w:rtl/>
        </w:rPr>
      </w:pPr>
      <w:bookmarkStart w:id="374" w:name="_Toc217740514"/>
      <w:r>
        <w:rPr>
          <w:rFonts w:asciiTheme="majorBidi" w:eastAsia="Calibri" w:hAnsiTheme="majorBidi" w:cstheme="majorBidi"/>
          <w:b/>
          <w:bCs/>
          <w:color w:val="000000"/>
        </w:rPr>
        <w:t xml:space="preserve">Figure </w:t>
      </w:r>
      <w:r>
        <w:rPr>
          <w:rFonts w:asciiTheme="majorBidi" w:eastAsia="Calibri" w:hAnsiTheme="majorBidi" w:cstheme="majorBidi"/>
          <w:b/>
          <w:bCs/>
          <w:color w:val="000000"/>
        </w:rPr>
        <w:fldChar w:fldCharType="begin"/>
      </w:r>
      <w:r>
        <w:rPr>
          <w:rFonts w:asciiTheme="majorBidi" w:eastAsia="Calibri" w:hAnsiTheme="majorBidi" w:cstheme="majorBidi"/>
          <w:b/>
          <w:bCs/>
          <w:color w:val="000000"/>
        </w:rPr>
        <w:instrText xml:space="preserve"> SEQ Figure \* ARABIC </w:instrText>
      </w:r>
      <w:r>
        <w:rPr>
          <w:rFonts w:asciiTheme="majorBidi" w:eastAsia="Calibri" w:hAnsiTheme="majorBidi" w:cstheme="majorBidi"/>
          <w:b/>
          <w:bCs/>
          <w:color w:val="000000"/>
        </w:rPr>
        <w:fldChar w:fldCharType="separate"/>
      </w:r>
      <w:r w:rsidR="00B55114">
        <w:rPr>
          <w:rFonts w:asciiTheme="majorBidi" w:eastAsia="Calibri" w:hAnsiTheme="majorBidi" w:cstheme="majorBidi"/>
          <w:b/>
          <w:bCs/>
          <w:noProof/>
          <w:color w:val="000000"/>
        </w:rPr>
        <w:t>8</w:t>
      </w:r>
      <w:r>
        <w:rPr>
          <w:rFonts w:asciiTheme="majorBidi" w:eastAsia="Calibri" w:hAnsiTheme="majorBidi" w:cstheme="majorBidi"/>
          <w:b/>
          <w:bCs/>
          <w:color w:val="000000"/>
        </w:rPr>
        <w:fldChar w:fldCharType="end"/>
      </w:r>
      <w:r>
        <w:rPr>
          <w:rFonts w:asciiTheme="majorBidi" w:eastAsia="Calibri" w:hAnsiTheme="majorBidi" w:cstheme="majorBidi"/>
          <w:color w:val="000000"/>
        </w:rPr>
        <w:br/>
      </w:r>
      <w:bookmarkEnd w:id="374"/>
      <w:r>
        <w:rPr>
          <w:rFonts w:asciiTheme="majorBidi" w:eastAsia="Calibri" w:hAnsiTheme="majorBidi" w:cstheme="majorBidi"/>
          <w:i/>
          <w:iCs/>
          <w:color w:val="000000"/>
        </w:rPr>
        <w:t xml:space="preserve">Existing Preventive Data Protection Protocols in Online Arbitration </w:t>
      </w:r>
    </w:p>
    <w:p w14:paraId="471001B0" w14:textId="77777777" w:rsidR="00926AEA" w:rsidRPr="008819FD" w:rsidRDefault="00926AEA" w:rsidP="002B732E">
      <w:pPr>
        <w:shd w:val="clear" w:color="auto" w:fill="FFFFFF"/>
        <w:spacing w:line="240" w:lineRule="auto"/>
        <w:rPr>
          <w:rFonts w:asciiTheme="majorBidi" w:eastAsia="Calibri" w:hAnsiTheme="majorBidi" w:cstheme="majorBidi"/>
          <w:b/>
          <w:bCs/>
          <w:color w:val="000000"/>
          <w:u w:val="single"/>
        </w:rPr>
      </w:pPr>
      <w:r>
        <w:rPr>
          <w:rFonts w:asciiTheme="majorBidi" w:eastAsia="Calibri" w:hAnsiTheme="majorBidi" w:cstheme="majorBidi"/>
          <w:i/>
          <w:iCs/>
          <w:color w:val="000000"/>
        </w:rPr>
        <w:t>Source: Author</w:t>
      </w:r>
      <w:r>
        <w:rPr>
          <w:rFonts w:asciiTheme="majorBidi" w:eastAsia="Calibri" w:hAnsiTheme="majorBidi" w:cstheme="majorBidi"/>
          <w:color w:val="000000"/>
        </w:rPr>
        <w:t>.</w:t>
      </w:r>
    </w:p>
    <w:p w14:paraId="4C1D8DB6" w14:textId="77777777" w:rsidR="00F073C0" w:rsidRPr="008819FD" w:rsidRDefault="00F073C0" w:rsidP="00C2531E">
      <w:pPr>
        <w:shd w:val="clear" w:color="auto" w:fill="FFFFFF"/>
        <w:spacing w:line="480" w:lineRule="auto"/>
        <w:rPr>
          <w:rFonts w:asciiTheme="majorBidi" w:eastAsia="Calibri" w:hAnsiTheme="majorBidi" w:cstheme="majorBidi"/>
          <w:color w:val="000000"/>
        </w:rPr>
      </w:pPr>
      <w:r>
        <w:rPr>
          <w:rFonts w:asciiTheme="majorBidi" w:eastAsia="Calibri" w:hAnsiTheme="majorBidi" w:cstheme="majorBidi"/>
          <w:noProof/>
          <w:color w:val="000000"/>
        </w:rPr>
        <w:drawing>
          <wp:inline distT="0" distB="0" distL="0" distR="0" wp14:anchorId="7A84AE7B" wp14:editId="4F268C02">
            <wp:extent cx="5943600" cy="2695575"/>
            <wp:effectExtent l="0" t="0" r="0" b="9525"/>
            <wp:docPr id="746272920" name="صورة 14" descr="صورة تحتوي على نص, لقطة شاشة, رسم بياني, الخط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72920" name="صورة 14" descr="صورة تحتوي على نص, لقطة شاشة, رسم بياني, الخط  قد يكون المحتوى الذي تم إنشاؤه بواسطة الذكاء الاصطناعي غير صحيح."/>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24D2519D" w14:textId="77777777" w:rsidR="00F073C0" w:rsidRPr="008819FD" w:rsidRDefault="00F073C0" w:rsidP="00C2531E">
      <w:pPr>
        <w:shd w:val="clear" w:color="auto" w:fill="FFFFFF"/>
        <w:spacing w:line="480" w:lineRule="auto"/>
        <w:rPr>
          <w:rFonts w:asciiTheme="majorBidi" w:eastAsia="Calibri" w:hAnsiTheme="majorBidi" w:cstheme="majorBidi"/>
          <w:color w:val="000000"/>
        </w:rPr>
      </w:pPr>
    </w:p>
    <w:p w14:paraId="3391CD5A"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pie chart illustrates respondents’ perceptions regarding the sufficiency of existing proactive controls designed to safeguard confidentiality in online arbitration. The results show that 46.7% of participants disagreed that the current precautionary measures are sufficient, while 42.2% adopted a neutral position. Only 11.1% of respondents agreed that the existing controls adequately protect confidentiality in virtual arbitration proceedings.</w:t>
      </w:r>
    </w:p>
    <w:p w14:paraId="7B7FBCF3"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The high proportion of respondents expressing disagreement suggests a notable lack of confidence in the effectiveness of current confidentiality safeguards. This finding indicates that many practitioners perceive existing policies and technical measures as inadequate to address the risks associated with online arbitration. Such concerns may stem from issues related to data security, the potential for cyberattacks, unauthorised access, or broader vulnerabilities within digital arbitration platforms.</w:t>
      </w:r>
    </w:p>
    <w:p w14:paraId="6E80AC83"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substantial number of neutral responses further suggests uncertainty or limited awareness regarding the robustness of current confidentiality protections. These respondents may lack sufficient information or practical experience to evaluate whether existing measures are adequate, highlighting possible gaps in transparency, communication, or training related to cybersecurity protocols in online arbitration.</w:t>
      </w:r>
      <w:r>
        <w:rPr>
          <w:rFonts w:asciiTheme="majorBidi" w:eastAsia="Calibri" w:hAnsiTheme="majorBidi" w:cstheme="majorBidi"/>
          <w:color w:val="000000"/>
          <w:vertAlign w:val="superscript"/>
        </w:rPr>
        <w:footnoteReference w:id="428"/>
      </w:r>
    </w:p>
    <w:p w14:paraId="59670FB4"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Moreover, the survey indicates that 42.2% of respondents adopted a neutral position regarding the effectiveness of existing precautionary measures. This neutrality may reflect limited or fragmented knowledge of the safeguards currently in place, uncertainty about their practical effectiveness, or an attempt by respondents to balance both the advantages and shortcomings of confidentiality protections in virtual arbitration. Some participants may lack sufficient exposure to cybersecurity protocols to form a definitive judgment, while others may remain cautiously undecided due to mixed experiences with online dispute resolution mechanisms.</w:t>
      </w:r>
    </w:p>
    <w:p w14:paraId="61D25ECE"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Understanding the underlying reasons for this neutral stance is essential for capturing the full range of perspectives reflected in the survey. Further exploration of these views may </w:t>
      </w:r>
      <w:r>
        <w:rPr>
          <w:rFonts w:asciiTheme="majorBidi" w:eastAsia="Calibri" w:hAnsiTheme="majorBidi" w:cstheme="majorBidi"/>
          <w:color w:val="000000"/>
        </w:rPr>
        <w:lastRenderedPageBreak/>
        <w:t xml:space="preserve">reveal gaps in awareness, transparency, or confidence in existing safeguards, thereby informing future regulatory, technical, and educational interventions aimed at strengthening trust in online arbitration systems. </w:t>
      </w:r>
      <w:r>
        <w:rPr>
          <w:rFonts w:asciiTheme="majorBidi" w:eastAsia="Calibri" w:hAnsiTheme="majorBidi" w:cstheme="majorBidi"/>
          <w:color w:val="000000"/>
          <w:vertAlign w:val="superscript"/>
        </w:rPr>
        <w:footnoteReference w:id="429"/>
      </w:r>
    </w:p>
    <w:p w14:paraId="5E8BECAF" w14:textId="77777777" w:rsidR="00042F57" w:rsidRPr="008819FD" w:rsidRDefault="00F073C0" w:rsidP="00926AEA">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Notably, only a small proportion of respondents—11.1%—considered the existing preventive measures to be sufficient. Although this view is held by a minority of the surveyed population, it reflects a degree of confidence in the current confidentiality and security protocols governing online arbitration.</w:t>
      </w:r>
      <w:r>
        <w:rPr>
          <w:rFonts w:asciiTheme="majorBidi" w:eastAsia="Times New Roman" w:hAnsiTheme="majorBidi" w:cstheme="majorBidi"/>
        </w:rPr>
        <w:t xml:space="preserve"> </w:t>
      </w:r>
    </w:p>
    <w:p w14:paraId="3903EC56" w14:textId="77777777" w:rsidR="00F073C0" w:rsidRPr="008819FD" w:rsidRDefault="00F073C0" w:rsidP="00792217">
      <w:pPr>
        <w:shd w:val="clear" w:color="auto" w:fill="FFFFFF"/>
        <w:spacing w:line="480" w:lineRule="auto"/>
        <w:ind w:firstLine="360"/>
        <w:rPr>
          <w:rFonts w:asciiTheme="majorBidi" w:eastAsia="Calibri" w:hAnsiTheme="majorBidi" w:cstheme="majorBidi"/>
          <w:color w:val="000000"/>
        </w:rPr>
      </w:pPr>
    </w:p>
    <w:p w14:paraId="668E7542" w14:textId="77777777" w:rsidR="00F073C0" w:rsidRPr="008819FD" w:rsidRDefault="00F073C0" w:rsidP="009F5ACD">
      <w:pPr>
        <w:pStyle w:val="Heading3"/>
        <w:rPr>
          <w:rFonts w:asciiTheme="majorBidi" w:hAnsiTheme="majorBidi" w:cstheme="majorBidi"/>
        </w:rPr>
      </w:pPr>
      <w:bookmarkStart w:id="375" w:name="_Toc217491646"/>
      <w:r>
        <w:rPr>
          <w:rFonts w:asciiTheme="majorBidi" w:hAnsiTheme="majorBidi" w:cstheme="majorBidi"/>
        </w:rPr>
        <w:tab/>
      </w:r>
      <w:bookmarkStart w:id="376" w:name="_Toc221804594"/>
      <w:r>
        <w:rPr>
          <w:rFonts w:asciiTheme="majorBidi" w:hAnsiTheme="majorBidi" w:cstheme="majorBidi"/>
        </w:rPr>
        <w:t>6.3.6 Online arbitration procedures</w:t>
      </w:r>
      <w:bookmarkEnd w:id="376"/>
      <w:r>
        <w:rPr>
          <w:rFonts w:asciiTheme="majorBidi" w:hAnsiTheme="majorBidi" w:cstheme="majorBidi"/>
        </w:rPr>
        <w:t xml:space="preserve"> </w:t>
      </w:r>
      <w:bookmarkEnd w:id="375"/>
    </w:p>
    <w:p w14:paraId="023552E7" w14:textId="4A49E520" w:rsidR="002B732E" w:rsidRPr="008819FD" w:rsidRDefault="00992FBA" w:rsidP="002B732E">
      <w:pPr>
        <w:shd w:val="clear" w:color="auto" w:fill="FFFFFF"/>
        <w:spacing w:line="240" w:lineRule="auto"/>
        <w:rPr>
          <w:rFonts w:asciiTheme="majorBidi" w:eastAsia="Calibri" w:hAnsiTheme="majorBidi" w:cstheme="majorBidi"/>
          <w:color w:val="000000"/>
          <w:rtl/>
        </w:rPr>
      </w:pPr>
      <w:bookmarkStart w:id="377" w:name="_Toc217740515"/>
      <w:r>
        <w:rPr>
          <w:rFonts w:asciiTheme="majorBidi" w:eastAsia="Calibri" w:hAnsiTheme="majorBidi" w:cstheme="majorBidi"/>
          <w:b/>
          <w:bCs/>
          <w:color w:val="000000"/>
        </w:rPr>
        <w:t xml:space="preserve">Figure </w:t>
      </w:r>
      <w:r>
        <w:rPr>
          <w:rFonts w:asciiTheme="majorBidi" w:eastAsia="Calibri" w:hAnsiTheme="majorBidi" w:cstheme="majorBidi"/>
          <w:b/>
          <w:bCs/>
          <w:color w:val="000000"/>
        </w:rPr>
        <w:fldChar w:fldCharType="begin"/>
      </w:r>
      <w:r>
        <w:rPr>
          <w:rFonts w:asciiTheme="majorBidi" w:eastAsia="Calibri" w:hAnsiTheme="majorBidi" w:cstheme="majorBidi"/>
          <w:b/>
          <w:bCs/>
          <w:color w:val="000000"/>
        </w:rPr>
        <w:instrText xml:space="preserve"> SEQ Figure \* ARABIC </w:instrText>
      </w:r>
      <w:r>
        <w:rPr>
          <w:rFonts w:asciiTheme="majorBidi" w:eastAsia="Calibri" w:hAnsiTheme="majorBidi" w:cstheme="majorBidi"/>
          <w:b/>
          <w:bCs/>
          <w:color w:val="000000"/>
        </w:rPr>
        <w:fldChar w:fldCharType="separate"/>
      </w:r>
      <w:r w:rsidR="00B55114">
        <w:rPr>
          <w:rFonts w:asciiTheme="majorBidi" w:eastAsia="Calibri" w:hAnsiTheme="majorBidi" w:cstheme="majorBidi"/>
          <w:b/>
          <w:bCs/>
          <w:noProof/>
          <w:color w:val="000000"/>
        </w:rPr>
        <w:t>9</w:t>
      </w:r>
      <w:r>
        <w:rPr>
          <w:rFonts w:asciiTheme="majorBidi" w:eastAsia="Calibri" w:hAnsiTheme="majorBidi" w:cstheme="majorBidi"/>
          <w:b/>
          <w:bCs/>
          <w:color w:val="000000"/>
        </w:rPr>
        <w:fldChar w:fldCharType="end"/>
      </w:r>
      <w:r>
        <w:rPr>
          <w:rFonts w:asciiTheme="majorBidi" w:eastAsia="Calibri" w:hAnsiTheme="majorBidi" w:cstheme="majorBidi"/>
          <w:color w:val="000000"/>
        </w:rPr>
        <w:br/>
      </w:r>
      <w:bookmarkEnd w:id="377"/>
      <w:r>
        <w:rPr>
          <w:rFonts w:asciiTheme="majorBidi" w:eastAsia="Calibri" w:hAnsiTheme="majorBidi" w:cstheme="majorBidi"/>
          <w:color w:val="000000"/>
        </w:rPr>
        <w:t xml:space="preserve">Role of Online Arbitration in Safeguarding Data Confidentiality in the UAE </w:t>
      </w:r>
    </w:p>
    <w:p w14:paraId="52BA06F0" w14:textId="77777777" w:rsidR="00992FBA" w:rsidRPr="008819FD" w:rsidRDefault="00992FBA" w:rsidP="002B732E">
      <w:pPr>
        <w:shd w:val="clear" w:color="auto" w:fill="FFFFFF"/>
        <w:spacing w:line="240" w:lineRule="auto"/>
        <w:rPr>
          <w:rFonts w:asciiTheme="majorBidi" w:eastAsia="Calibri" w:hAnsiTheme="majorBidi" w:cstheme="majorBidi"/>
          <w:color w:val="000000"/>
        </w:rPr>
      </w:pPr>
      <w:r>
        <w:rPr>
          <w:rFonts w:asciiTheme="majorBidi" w:eastAsia="Calibri" w:hAnsiTheme="majorBidi" w:cstheme="majorBidi"/>
          <w:color w:val="000000"/>
        </w:rPr>
        <w:t xml:space="preserve">Source: Author </w:t>
      </w:r>
    </w:p>
    <w:p w14:paraId="45A906AC" w14:textId="77777777" w:rsidR="00992FBA" w:rsidRPr="008819FD" w:rsidRDefault="00992FBA" w:rsidP="00992FBA">
      <w:pPr>
        <w:rPr>
          <w:rFonts w:asciiTheme="majorBidi" w:hAnsiTheme="majorBidi" w:cstheme="majorBidi"/>
        </w:rPr>
      </w:pPr>
    </w:p>
    <w:p w14:paraId="0071CB08" w14:textId="77777777" w:rsidR="00F073C0" w:rsidRPr="008819FD" w:rsidRDefault="00F073C0" w:rsidP="00C2531E">
      <w:pPr>
        <w:shd w:val="clear" w:color="auto" w:fill="FFFFFF"/>
        <w:spacing w:line="480" w:lineRule="auto"/>
        <w:rPr>
          <w:rFonts w:asciiTheme="majorBidi" w:eastAsia="Calibri" w:hAnsiTheme="majorBidi" w:cstheme="majorBidi"/>
          <w:color w:val="000000"/>
        </w:rPr>
      </w:pPr>
      <w:r>
        <w:rPr>
          <w:rFonts w:asciiTheme="majorBidi" w:eastAsia="Calibri" w:hAnsiTheme="majorBidi" w:cstheme="majorBidi"/>
          <w:noProof/>
          <w:color w:val="000000"/>
        </w:rPr>
        <w:drawing>
          <wp:inline distT="0" distB="0" distL="0" distR="0" wp14:anchorId="14D61527" wp14:editId="73F62646">
            <wp:extent cx="5943600" cy="2695575"/>
            <wp:effectExtent l="0" t="0" r="0" b="9525"/>
            <wp:docPr id="365758661" name="صورة 13" descr="صورة تحتوي على نص, لقطة شاشة, الخط, رسم بياني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58661" name="صورة 13" descr="صورة تحتوي على نص, لقطة شاشة, الخط, رسم بياني  قد يكون المحتوى الذي تم إنشاؤه بواسطة الذكاء الاصطناعي غير صحيح."/>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28869D84"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The graph indicates that a significant proportion of respondents expressed concerns regarding the adequacy of data protection and confidentiality safeguards in online arbitration. Specifically, 46.7% of participants disagreed that current online arbitration methods provide sufficient protection for data and confidentiality rights, while 44.4% adopted a neutral position. Only 8.9% of respondents agreed that existing mechanisms adequately protect data and confidentiality.</w:t>
      </w:r>
    </w:p>
    <w:p w14:paraId="4F559FDA"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high level of disagreement suggests a substantial lack of confidence among respondents in the ability of current online arbitration frameworks to safeguard sensitive information effectively. This perception may reflect concerns about weaknesses in existing technical, procedural, or legal safeguards, which respondents may believe leave confidential data vulnerable to unauthorised access, misuse, or cyber threats during online arbitration proceedings.</w:t>
      </w:r>
    </w:p>
    <w:p w14:paraId="22E25DCE"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sizeable proportion of neutral responses further indicates uncertainty or limited awareness regarding the robustness of current data protection measures. These respondents may lack sufficient information or direct experience to assess whether existing protocols are adequate, highlighting potential gaps in transparency, communication, or practitioner training relating to data protection in online arbitration.</w:t>
      </w:r>
      <w:r>
        <w:rPr>
          <w:rFonts w:asciiTheme="majorBidi" w:eastAsia="Calibri" w:hAnsiTheme="majorBidi" w:cstheme="majorBidi"/>
          <w:color w:val="000000"/>
          <w:vertAlign w:val="superscript"/>
        </w:rPr>
        <w:footnoteReference w:id="430"/>
      </w:r>
    </w:p>
    <w:p w14:paraId="61355D55"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Among participants who had engaged with digital arbitration processes, 44.4% reported a neutral position regarding the effectiveness of current data privacy and confidentiality protection procedures. This finding suggests that a substantial proportion of </w:t>
      </w:r>
      <w:r>
        <w:rPr>
          <w:rFonts w:asciiTheme="majorBidi" w:eastAsia="Calibri" w:hAnsiTheme="majorBidi" w:cstheme="majorBidi"/>
          <w:color w:val="000000"/>
        </w:rPr>
        <w:lastRenderedPageBreak/>
        <w:t>respondents remain uncertain about whether existing digital arbitration frameworks adequately address concerns relating to data protection and confidentiality rights.</w:t>
      </w:r>
    </w:p>
    <w:p w14:paraId="574A7A3E"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Such neutrality may reflect a need for greater transparency, clearer procedural guidance, or additional empirical evidence demonstrating how data and confidentiality are safeguarded throughout online arbitration proceedings. These respondents may require more detailed information, practical assurances, or regulatory clarification before forming a definitive assessment of the adequacy of current protections </w:t>
      </w:r>
      <w:r>
        <w:rPr>
          <w:rFonts w:asciiTheme="majorBidi" w:eastAsia="Calibri" w:hAnsiTheme="majorBidi" w:cstheme="majorBidi"/>
          <w:color w:val="000000"/>
          <w:vertAlign w:val="superscript"/>
        </w:rPr>
        <w:footnoteReference w:id="431"/>
      </w:r>
      <w:r>
        <w:rPr>
          <w:rFonts w:asciiTheme="majorBidi" w:eastAsia="Calibri" w:hAnsiTheme="majorBidi" w:cstheme="majorBidi"/>
          <w:color w:val="000000"/>
        </w:rPr>
        <w:t xml:space="preserve">. </w:t>
      </w:r>
    </w:p>
    <w:p w14:paraId="5F4079BC" w14:textId="77777777" w:rsidR="00F073C0" w:rsidRPr="008819FD" w:rsidRDefault="00F073C0" w:rsidP="00992FBA">
      <w:pPr>
        <w:pStyle w:val="NormalWeb"/>
        <w:spacing w:line="480" w:lineRule="auto"/>
        <w:ind w:firstLine="720"/>
        <w:rPr>
          <w:rFonts w:asciiTheme="majorBidi" w:hAnsiTheme="majorBidi" w:cstheme="majorBidi"/>
        </w:rPr>
      </w:pPr>
      <w:r>
        <w:rPr>
          <w:rFonts w:asciiTheme="majorBidi" w:hAnsiTheme="majorBidi" w:cstheme="majorBidi"/>
        </w:rPr>
        <w:t>Participants (8.9%) who said they agreed with the idea that present online arbitration systems protect the privacy and confidentiality rights of all parties as well as protect the participants' personal information from unwanted exposure also support the use of these systems. The majority of the respondents seem to believe that there is an adequate degree of protection for the privacy rights of those involved in the arbitration process in relation to the privacy and anonymity of the individuals involved, and that the security and reliability of the systems currently being used will protect the confidentiality rights of the parties involved. Participants (8.9%) who believe that present on-line arbitration systems have sufficient security and reliability in protecting the rights to privacy and confidentiality of all parties involved may feel confident that the privacy rights of the parties will be maintained through the enforcement of applicable laws, regulations and procedures as well as the presently employed security measures.</w:t>
      </w:r>
    </w:p>
    <w:p w14:paraId="478AF9A3" w14:textId="77777777" w:rsidR="00F073C0" w:rsidRPr="008819FD" w:rsidRDefault="00213C10" w:rsidP="009F5ACD">
      <w:pPr>
        <w:pStyle w:val="Heading3"/>
        <w:rPr>
          <w:rFonts w:asciiTheme="majorBidi" w:hAnsiTheme="majorBidi" w:cstheme="majorBidi"/>
        </w:rPr>
      </w:pPr>
      <w:bookmarkStart w:id="378" w:name="_Toc221804595"/>
      <w:r>
        <w:rPr>
          <w:rFonts w:asciiTheme="majorBidi" w:hAnsiTheme="majorBidi" w:cstheme="majorBidi"/>
        </w:rPr>
        <w:lastRenderedPageBreak/>
        <w:t>6.3.7 Feelings about Online arbitration platforms</w:t>
      </w:r>
      <w:bookmarkEnd w:id="378"/>
    </w:p>
    <w:p w14:paraId="3997C1F9" w14:textId="6DC69E85" w:rsidR="00A75019" w:rsidRPr="008819FD" w:rsidRDefault="00992FBA" w:rsidP="00A75019">
      <w:pPr>
        <w:shd w:val="clear" w:color="auto" w:fill="FFFFFF"/>
        <w:spacing w:line="240" w:lineRule="auto"/>
        <w:rPr>
          <w:rFonts w:asciiTheme="majorBidi" w:eastAsia="Calibri" w:hAnsiTheme="majorBidi" w:cstheme="majorBidi"/>
          <w:i/>
          <w:iCs/>
          <w:color w:val="000000"/>
          <w:rtl/>
        </w:rPr>
      </w:pPr>
      <w:bookmarkStart w:id="379" w:name="_Toc217740516"/>
      <w:r>
        <w:rPr>
          <w:rFonts w:asciiTheme="majorBidi" w:eastAsia="Calibri" w:hAnsiTheme="majorBidi" w:cstheme="majorBidi"/>
          <w:b/>
          <w:bCs/>
          <w:color w:val="000000"/>
        </w:rPr>
        <w:t xml:space="preserve">Figure </w:t>
      </w:r>
      <w:r>
        <w:rPr>
          <w:rFonts w:asciiTheme="majorBidi" w:eastAsia="Calibri" w:hAnsiTheme="majorBidi" w:cstheme="majorBidi"/>
          <w:b/>
          <w:bCs/>
          <w:color w:val="000000"/>
        </w:rPr>
        <w:fldChar w:fldCharType="begin"/>
      </w:r>
      <w:r>
        <w:rPr>
          <w:rFonts w:asciiTheme="majorBidi" w:eastAsia="Calibri" w:hAnsiTheme="majorBidi" w:cstheme="majorBidi"/>
          <w:b/>
          <w:bCs/>
          <w:color w:val="000000"/>
        </w:rPr>
        <w:instrText xml:space="preserve"> SEQ Figure \* ARABIC </w:instrText>
      </w:r>
      <w:r>
        <w:rPr>
          <w:rFonts w:asciiTheme="majorBidi" w:eastAsia="Calibri" w:hAnsiTheme="majorBidi" w:cstheme="majorBidi"/>
          <w:b/>
          <w:bCs/>
          <w:color w:val="000000"/>
        </w:rPr>
        <w:fldChar w:fldCharType="separate"/>
      </w:r>
      <w:r w:rsidR="00B55114">
        <w:rPr>
          <w:rFonts w:asciiTheme="majorBidi" w:eastAsia="Calibri" w:hAnsiTheme="majorBidi" w:cstheme="majorBidi"/>
          <w:b/>
          <w:bCs/>
          <w:noProof/>
          <w:color w:val="000000"/>
        </w:rPr>
        <w:t>10</w:t>
      </w:r>
      <w:r>
        <w:rPr>
          <w:rFonts w:asciiTheme="majorBidi" w:eastAsia="Calibri" w:hAnsiTheme="majorBidi" w:cstheme="majorBidi"/>
          <w:b/>
          <w:bCs/>
          <w:color w:val="000000"/>
        </w:rPr>
        <w:fldChar w:fldCharType="end"/>
      </w:r>
      <w:r>
        <w:rPr>
          <w:rFonts w:asciiTheme="majorBidi" w:eastAsia="Calibri" w:hAnsiTheme="majorBidi" w:cstheme="majorBidi"/>
          <w:b/>
          <w:bCs/>
          <w:color w:val="000000"/>
        </w:rPr>
        <w:br/>
      </w:r>
      <w:bookmarkEnd w:id="379"/>
      <w:r>
        <w:rPr>
          <w:rFonts w:asciiTheme="majorBidi" w:eastAsia="Calibri" w:hAnsiTheme="majorBidi" w:cstheme="majorBidi"/>
          <w:i/>
          <w:iCs/>
          <w:color w:val="000000"/>
        </w:rPr>
        <w:t xml:space="preserve">Assessment of the Operational Effectiveness of the UAE Online Arbitration Platform </w:t>
      </w:r>
    </w:p>
    <w:p w14:paraId="0DF94C8B" w14:textId="77777777" w:rsidR="00992FBA" w:rsidRPr="008819FD" w:rsidRDefault="00992FBA" w:rsidP="00A75019">
      <w:pPr>
        <w:shd w:val="clear" w:color="auto" w:fill="FFFFFF"/>
        <w:spacing w:line="240" w:lineRule="auto"/>
        <w:rPr>
          <w:rFonts w:asciiTheme="majorBidi" w:eastAsia="Calibri" w:hAnsiTheme="majorBidi" w:cstheme="majorBidi"/>
          <w:b/>
          <w:bCs/>
          <w:i/>
          <w:iCs/>
          <w:color w:val="000000"/>
          <w:u w:val="single"/>
        </w:rPr>
      </w:pPr>
      <w:r>
        <w:rPr>
          <w:rFonts w:asciiTheme="majorBidi" w:eastAsia="Calibri" w:hAnsiTheme="majorBidi" w:cstheme="majorBidi"/>
          <w:i/>
          <w:iCs/>
          <w:color w:val="000000"/>
        </w:rPr>
        <w:t>Source: Author.</w:t>
      </w:r>
    </w:p>
    <w:p w14:paraId="2FFA373B" w14:textId="77777777" w:rsidR="00F073C0" w:rsidRPr="008819FD" w:rsidRDefault="00F073C0" w:rsidP="00C2531E">
      <w:pPr>
        <w:shd w:val="clear" w:color="auto" w:fill="FFFFFF"/>
        <w:spacing w:line="480" w:lineRule="auto"/>
        <w:rPr>
          <w:rFonts w:asciiTheme="majorBidi" w:eastAsia="Calibri" w:hAnsiTheme="majorBidi" w:cstheme="majorBidi"/>
          <w:color w:val="000000"/>
        </w:rPr>
      </w:pPr>
      <w:r>
        <w:rPr>
          <w:rFonts w:asciiTheme="majorBidi" w:eastAsia="Calibri" w:hAnsiTheme="majorBidi" w:cstheme="majorBidi"/>
          <w:noProof/>
          <w:color w:val="000000"/>
        </w:rPr>
        <w:drawing>
          <wp:inline distT="0" distB="0" distL="0" distR="0" wp14:anchorId="4527329B" wp14:editId="0BCD42CC">
            <wp:extent cx="5943600" cy="2495550"/>
            <wp:effectExtent l="0" t="0" r="0" b="0"/>
            <wp:docPr id="467179556" name="صورة 12" descr="صورة تحتوي على نص, لقطة شاشة, الخط, رسم بياني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179556" name="صورة 12" descr="صورة تحتوي على نص, لقطة شاشة, الخط, رسم بياني  قد يكون المحتوى الذي تم إنشاؤه بواسطة الذكاء الاصطناعي غير صحيح."/>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495550"/>
                    </a:xfrm>
                    <a:prstGeom prst="rect">
                      <a:avLst/>
                    </a:prstGeom>
                    <a:noFill/>
                    <a:ln>
                      <a:noFill/>
                    </a:ln>
                  </pic:spPr>
                </pic:pic>
              </a:graphicData>
            </a:graphic>
          </wp:inline>
        </w:drawing>
      </w:r>
    </w:p>
    <w:p w14:paraId="2D2597E5" w14:textId="77777777" w:rsidR="00F073C0" w:rsidRPr="008819FD" w:rsidRDefault="00F073C0" w:rsidP="00E77165">
      <w:pPr>
        <w:pStyle w:val="NormalWeb"/>
        <w:spacing w:line="480" w:lineRule="auto"/>
        <w:ind w:firstLine="720"/>
        <w:rPr>
          <w:rFonts w:asciiTheme="majorBidi" w:hAnsiTheme="majorBidi" w:cstheme="majorBidi"/>
        </w:rPr>
      </w:pPr>
      <w:bookmarkStart w:id="380" w:name="_Toc217491648"/>
      <w:r>
        <w:rPr>
          <w:rFonts w:asciiTheme="majorBidi" w:hAnsiTheme="majorBidi" w:cstheme="majorBidi"/>
        </w:rPr>
        <w:t>Based on the data, most of the respondents were neutral regarding the functionality and effectiveness of current online dispute resolution systems and accounted for 46.7% of the total responses. The second largest group consisted of respondents who did not believe the current systems are functional and sufficient to resolve online arguments; this accounted for 40% of the total responses. On the other hand, only 13.3% of the respondents believed that the current systems are both functional and sufficiently effective to handle online disagreements and mediate successful resolutions.</w:t>
      </w:r>
    </w:p>
    <w:p w14:paraId="1640EE48"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Many of people who responded to our questionnaire were neutral, which may indicate that many of the people that we interviewed either did not understand, or did not fully appreciate how the various online disputing websites function in the United Arab Emirates at the moment. Either many people had never experienced using one of these websites before or they simply had no experience using such websites. As many people have not yet participated </w:t>
      </w:r>
      <w:r>
        <w:rPr>
          <w:rFonts w:asciiTheme="majorBidi" w:hAnsiTheme="majorBidi" w:cstheme="majorBidi"/>
        </w:rPr>
        <w:lastRenderedPageBreak/>
        <w:t>in an online dispute, they cannot possibly provide an informed opinion of their value or lack thereof. Many people will likely feel ambivalent toward expressing their opinion about the usefulness of online disputing websites because they either have limited knowledge about these websites or have never used them.</w:t>
      </w:r>
    </w:p>
    <w:p w14:paraId="5401FB93"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In addition, nearly half of the people surveyed by us thought the current online dispute resolution websites were functioning poorly; 40%, to be exact. Such negative attitudes could arise from numerous poor experiences the people have had when attempting to utilise the services of these types of websites. They may have had issues with the terms of service, waited for an unacceptable length of time to receive decisions, received a decision that was not useful, etc. If a person has had several negative experiences like this, then it would logically follow that he/she would not believe that these sites are performing their functions properly.</w:t>
      </w:r>
    </w:p>
    <w:p w14:paraId="6B1D11D0"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There are also many people that have used the current online dispute resolution websites and based upon their own experiences, have expressed dissatisfaction with how they operate. We do not know exactly why these individuals are unhappy with the current situation, but the survey clearly shows that many people are not satisfied with the performance of the current online dispute resolution systems.</w:t>
      </w:r>
    </w:p>
    <w:p w14:paraId="5541497A" w14:textId="77777777" w:rsidR="00F073C0"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 xml:space="preserve">Approximately 13% of the respondents indicated that they generally think the virtual dispute resolution systems that currently exist in the UAE are acceptable and operating well. Perhaps the people who share this view find these systems relatively fast and convenient to use, and perhaps they find the systems to be fair and equitable. However, most of the respondents did not appear to be strongly favorable or unfavorable towards the current systems. Based on the findings of this study, further research and/or consideration of whether </w:t>
      </w:r>
      <w:r>
        <w:rPr>
          <w:rFonts w:asciiTheme="majorBidi" w:hAnsiTheme="majorBidi" w:cstheme="majorBidi"/>
        </w:rPr>
        <w:lastRenderedPageBreak/>
        <w:t>new legislation is needed to address any flaws in the operation of online dispute resolution in the UAE seems warranted. Studying what each respondent said may be particularly beneficial to the people who formulate the legislation.</w:t>
      </w:r>
    </w:p>
    <w:p w14:paraId="44ACC355" w14:textId="77777777" w:rsidR="00042F57" w:rsidRPr="008819FD" w:rsidRDefault="00F073C0" w:rsidP="00E77165">
      <w:pPr>
        <w:pStyle w:val="NormalWeb"/>
        <w:spacing w:line="480" w:lineRule="auto"/>
        <w:ind w:firstLine="720"/>
        <w:rPr>
          <w:rFonts w:asciiTheme="majorBidi" w:hAnsiTheme="majorBidi" w:cstheme="majorBidi"/>
        </w:rPr>
      </w:pPr>
      <w:r>
        <w:rPr>
          <w:rFonts w:asciiTheme="majorBidi" w:hAnsiTheme="majorBidi" w:cstheme="majorBidi"/>
        </w:rPr>
        <w:t>This survey shows that people do not all agree on whether online arbitration in the UAE is operating as it should. Given the disparate views expressed through the survey, it may be a good idea to examine the issue in greater detail and consider whether there are any changes that the law may need to make to improve the process of online arbitration in the UAE. The individuals who disagree may emphasize the potential improvements in certain areas, while those who support the proposal may focus on its positive aspects. In any case, these survey results illustrate how essential it is to evaluate and address the shortcomings of online commercial arbitration in the UAE to develop a reliable and efficient method of resolving disputes in the digital age.</w:t>
      </w:r>
    </w:p>
    <w:p w14:paraId="32CE70F1" w14:textId="77777777" w:rsidR="00F073C0" w:rsidRPr="008819FD" w:rsidRDefault="00F073C0" w:rsidP="00792217">
      <w:pPr>
        <w:pStyle w:val="NormalWeb"/>
        <w:spacing w:line="480" w:lineRule="auto"/>
        <w:ind w:firstLine="360"/>
        <w:rPr>
          <w:rFonts w:asciiTheme="majorBidi" w:hAnsiTheme="majorBidi" w:cstheme="majorBidi"/>
        </w:rPr>
      </w:pPr>
    </w:p>
    <w:p w14:paraId="34CF97F5" w14:textId="77777777" w:rsidR="00B86644" w:rsidRPr="008819FD" w:rsidRDefault="00B86644" w:rsidP="00792217">
      <w:pPr>
        <w:pStyle w:val="NormalWeb"/>
        <w:spacing w:line="480" w:lineRule="auto"/>
        <w:ind w:firstLine="360"/>
        <w:rPr>
          <w:rFonts w:asciiTheme="majorBidi" w:hAnsiTheme="majorBidi" w:cstheme="majorBidi"/>
        </w:rPr>
      </w:pPr>
    </w:p>
    <w:p w14:paraId="1B0553A5" w14:textId="77777777" w:rsidR="00B86644" w:rsidRPr="008819FD" w:rsidRDefault="00B86644" w:rsidP="00792217">
      <w:pPr>
        <w:pStyle w:val="NormalWeb"/>
        <w:spacing w:line="480" w:lineRule="auto"/>
        <w:ind w:firstLine="360"/>
        <w:rPr>
          <w:rFonts w:asciiTheme="majorBidi" w:hAnsiTheme="majorBidi" w:cstheme="majorBidi"/>
        </w:rPr>
      </w:pPr>
    </w:p>
    <w:p w14:paraId="366698EA" w14:textId="77777777" w:rsidR="00B86644" w:rsidRPr="008819FD" w:rsidRDefault="00B86644" w:rsidP="00792217">
      <w:pPr>
        <w:pStyle w:val="NormalWeb"/>
        <w:spacing w:line="480" w:lineRule="auto"/>
        <w:ind w:firstLine="360"/>
        <w:rPr>
          <w:rFonts w:asciiTheme="majorBidi" w:hAnsiTheme="majorBidi" w:cstheme="majorBidi"/>
          <w:rtl/>
        </w:rPr>
      </w:pPr>
    </w:p>
    <w:p w14:paraId="190516C9" w14:textId="77777777" w:rsidR="00A75019" w:rsidRPr="008819FD" w:rsidRDefault="00A75019" w:rsidP="00792217">
      <w:pPr>
        <w:pStyle w:val="NormalWeb"/>
        <w:spacing w:line="480" w:lineRule="auto"/>
        <w:ind w:firstLine="360"/>
        <w:rPr>
          <w:rFonts w:asciiTheme="majorBidi" w:hAnsiTheme="majorBidi" w:cstheme="majorBidi"/>
          <w:rtl/>
        </w:rPr>
      </w:pPr>
    </w:p>
    <w:p w14:paraId="7347E553" w14:textId="77777777" w:rsidR="000E5775" w:rsidRPr="008819FD" w:rsidRDefault="000E5775" w:rsidP="00792217">
      <w:pPr>
        <w:pStyle w:val="NormalWeb"/>
        <w:spacing w:line="480" w:lineRule="auto"/>
        <w:ind w:firstLine="360"/>
        <w:rPr>
          <w:rFonts w:asciiTheme="majorBidi" w:hAnsiTheme="majorBidi" w:cstheme="majorBidi"/>
        </w:rPr>
      </w:pPr>
    </w:p>
    <w:p w14:paraId="283585DC" w14:textId="77777777" w:rsidR="00F073C0" w:rsidRPr="008819FD" w:rsidRDefault="00213C10" w:rsidP="009F5ACD">
      <w:pPr>
        <w:pStyle w:val="Heading3"/>
        <w:rPr>
          <w:rFonts w:asciiTheme="majorBidi" w:hAnsiTheme="majorBidi" w:cstheme="majorBidi"/>
        </w:rPr>
      </w:pPr>
      <w:bookmarkStart w:id="381" w:name="_Toc221804596"/>
      <w:r>
        <w:rPr>
          <w:rFonts w:asciiTheme="majorBidi" w:eastAsia="Times New Roman" w:hAnsiTheme="majorBidi" w:cstheme="majorBidi"/>
        </w:rPr>
        <w:lastRenderedPageBreak/>
        <w:t xml:space="preserve">6.3.8 </w:t>
      </w:r>
      <w:r>
        <w:rPr>
          <w:rFonts w:asciiTheme="majorBidi" w:hAnsiTheme="majorBidi" w:cstheme="majorBidi"/>
        </w:rPr>
        <w:t>law governing online arbitration in the UAE</w:t>
      </w:r>
      <w:bookmarkEnd w:id="381"/>
      <w:r>
        <w:rPr>
          <w:rFonts w:asciiTheme="majorBidi" w:hAnsiTheme="majorBidi" w:cstheme="majorBidi"/>
        </w:rPr>
        <w:t xml:space="preserve"> </w:t>
      </w:r>
      <w:bookmarkEnd w:id="380"/>
    </w:p>
    <w:p w14:paraId="285D0132" w14:textId="76990CA9" w:rsidR="000E5775" w:rsidRPr="008819FD" w:rsidRDefault="00992FBA" w:rsidP="000E5775">
      <w:pPr>
        <w:shd w:val="clear" w:color="auto" w:fill="FFFFFF"/>
        <w:spacing w:line="240" w:lineRule="auto"/>
        <w:rPr>
          <w:rFonts w:asciiTheme="majorBidi" w:eastAsia="Calibri" w:hAnsiTheme="majorBidi" w:cstheme="majorBidi"/>
          <w:i/>
          <w:iCs/>
          <w:color w:val="000000"/>
          <w:rtl/>
        </w:rPr>
      </w:pPr>
      <w:bookmarkStart w:id="382" w:name="_Toc217740517"/>
      <w:r>
        <w:rPr>
          <w:rFonts w:asciiTheme="majorBidi" w:eastAsia="Calibri" w:hAnsiTheme="majorBidi" w:cstheme="majorBidi"/>
          <w:b/>
          <w:bCs/>
          <w:color w:val="000000"/>
        </w:rPr>
        <w:t xml:space="preserve">Figure </w:t>
      </w:r>
      <w:r>
        <w:rPr>
          <w:rFonts w:asciiTheme="majorBidi" w:eastAsia="Calibri" w:hAnsiTheme="majorBidi" w:cstheme="majorBidi"/>
          <w:b/>
          <w:bCs/>
          <w:color w:val="000000"/>
        </w:rPr>
        <w:fldChar w:fldCharType="begin"/>
      </w:r>
      <w:r>
        <w:rPr>
          <w:rFonts w:asciiTheme="majorBidi" w:eastAsia="Calibri" w:hAnsiTheme="majorBidi" w:cstheme="majorBidi"/>
          <w:b/>
          <w:bCs/>
          <w:color w:val="000000"/>
        </w:rPr>
        <w:instrText xml:space="preserve"> SEQ Figure \* ARABIC </w:instrText>
      </w:r>
      <w:r>
        <w:rPr>
          <w:rFonts w:asciiTheme="majorBidi" w:eastAsia="Calibri" w:hAnsiTheme="majorBidi" w:cstheme="majorBidi"/>
          <w:b/>
          <w:bCs/>
          <w:color w:val="000000"/>
        </w:rPr>
        <w:fldChar w:fldCharType="separate"/>
      </w:r>
      <w:r w:rsidR="00B55114">
        <w:rPr>
          <w:rFonts w:asciiTheme="majorBidi" w:eastAsia="Calibri" w:hAnsiTheme="majorBidi" w:cstheme="majorBidi"/>
          <w:b/>
          <w:bCs/>
          <w:noProof/>
          <w:color w:val="000000"/>
        </w:rPr>
        <w:t>11</w:t>
      </w:r>
      <w:r>
        <w:rPr>
          <w:rFonts w:asciiTheme="majorBidi" w:eastAsia="Calibri" w:hAnsiTheme="majorBidi" w:cstheme="majorBidi"/>
          <w:b/>
          <w:bCs/>
          <w:color w:val="000000"/>
        </w:rPr>
        <w:fldChar w:fldCharType="end"/>
      </w:r>
      <w:r>
        <w:rPr>
          <w:rFonts w:asciiTheme="majorBidi" w:eastAsia="Calibri" w:hAnsiTheme="majorBidi" w:cstheme="majorBidi"/>
          <w:b/>
          <w:bCs/>
          <w:color w:val="000000"/>
        </w:rPr>
        <w:br/>
      </w:r>
      <w:r>
        <w:rPr>
          <w:rFonts w:asciiTheme="majorBidi" w:eastAsia="Calibri" w:hAnsiTheme="majorBidi" w:cstheme="majorBidi"/>
          <w:i/>
          <w:iCs/>
          <w:color w:val="000000"/>
        </w:rPr>
        <w:t xml:space="preserve">Impact of Recent Legislative Amendments on Online Arbitration in the UAE </w:t>
      </w:r>
    </w:p>
    <w:p w14:paraId="13039E74" w14:textId="77777777" w:rsidR="00992FBA" w:rsidRPr="008819FD" w:rsidRDefault="00992FBA" w:rsidP="000E5775">
      <w:pPr>
        <w:shd w:val="clear" w:color="auto" w:fill="FFFFFF"/>
        <w:spacing w:line="240" w:lineRule="auto"/>
        <w:rPr>
          <w:rFonts w:asciiTheme="majorBidi" w:eastAsia="Calibri" w:hAnsiTheme="majorBidi" w:cstheme="majorBidi"/>
          <w:i/>
          <w:iCs/>
          <w:color w:val="000000"/>
        </w:rPr>
      </w:pPr>
      <w:r>
        <w:rPr>
          <w:rFonts w:asciiTheme="majorBidi" w:eastAsia="Calibri" w:hAnsiTheme="majorBidi" w:cstheme="majorBidi"/>
          <w:i/>
          <w:iCs/>
          <w:color w:val="000000"/>
        </w:rPr>
        <w:t>Source: Author</w:t>
      </w:r>
      <w:bookmarkEnd w:id="382"/>
    </w:p>
    <w:p w14:paraId="0CE27FF7" w14:textId="77777777" w:rsidR="00992FBA" w:rsidRPr="008819FD" w:rsidRDefault="00992FBA" w:rsidP="00992FBA">
      <w:pPr>
        <w:rPr>
          <w:rFonts w:asciiTheme="majorBidi" w:hAnsiTheme="majorBidi" w:cstheme="majorBidi"/>
        </w:rPr>
      </w:pPr>
    </w:p>
    <w:p w14:paraId="6853E691" w14:textId="77777777" w:rsidR="00F073C0" w:rsidRPr="008819FD" w:rsidRDefault="00F073C0" w:rsidP="00C2531E">
      <w:pPr>
        <w:rPr>
          <w:rFonts w:asciiTheme="majorBidi" w:eastAsia="Calibri" w:hAnsiTheme="majorBidi" w:cstheme="majorBidi"/>
          <w:color w:val="000000"/>
        </w:rPr>
      </w:pPr>
      <w:r>
        <w:rPr>
          <w:rFonts w:asciiTheme="majorBidi" w:hAnsiTheme="majorBidi" w:cstheme="majorBidi"/>
          <w:noProof/>
        </w:rPr>
        <w:drawing>
          <wp:inline distT="0" distB="0" distL="0" distR="0" wp14:anchorId="5C884175" wp14:editId="72440BEE">
            <wp:extent cx="5943600" cy="2695575"/>
            <wp:effectExtent l="0" t="0" r="0" b="9525"/>
            <wp:docPr id="791000026" name="صورة 11" descr="صورة تحتوي على نص, لقطة شاشة, الخط, شعار  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000026" name="صورة 11" descr="صورة تحتوي على نص, لقطة شاشة, الخط, شعار  قد يكون المحتوى الذي تم إنشاؤه بواسطة الذكاء الاصطناعي غير صحيح."/>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695575"/>
                    </a:xfrm>
                    <a:prstGeom prst="rect">
                      <a:avLst/>
                    </a:prstGeom>
                    <a:noFill/>
                    <a:ln>
                      <a:noFill/>
                    </a:ln>
                  </pic:spPr>
                </pic:pic>
              </a:graphicData>
            </a:graphic>
          </wp:inline>
        </w:drawing>
      </w:r>
    </w:p>
    <w:p w14:paraId="75C13F96"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Participants responded in an unorganized manner as indicated by the large amount of diversity that was expressed through the responses, based on their varied professional backgrounds, the diverse level of knowledge regarding online arbitration processes, and the varying levels of interaction they had with the legal system in the UAE. The fact that online arbitration is a multi-faceted and developing area of practice, as well as the presence of geographic and cultural variations, also contributed to the variety of views expressed in the poll.</w:t>
      </w:r>
    </w:p>
    <w:p w14:paraId="11B14173"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A considerable number (about 1/4) of the participants, approximately 28.9%, agreed that the UAE Virtual arbitration Law needed to be amended in terms of privacy concerns. Therefore, it appears that many respondents thought that there existed certain gaps in the current legal system which required legislative reform to ensure greater protection of </w:t>
      </w:r>
      <w:r>
        <w:rPr>
          <w:rFonts w:asciiTheme="majorBidi" w:eastAsia="Calibri" w:hAnsiTheme="majorBidi" w:cstheme="majorBidi"/>
          <w:color w:val="000000"/>
        </w:rPr>
        <w:lastRenderedPageBreak/>
        <w:t>confidential information submitted during online arbitration. In turn, this could contribute to the implementation of enhanced safeguards and protections against the misuse of personal information, in accordance with the requirements of online arbitration.</w:t>
      </w:r>
    </w:p>
    <w:p w14:paraId="5828983E"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There is a substantial number (approximately 22.2%) of participants who disagreed with the need to amend the law. As such, it can be inferred that the current Virtual arbitration Law in the UAE is satisfactory. A possible explanation for this view is that respondents believe that the existing legal framework provides adequate protection of the confidentiality rights of parties engaged in online arbitration. Some respondents may believe that the existing legal framework adequately protects the confidentiality rights of parties involved in online arbitration and cite examples of relevant provisions and case law to support their positions.</w:t>
      </w:r>
    </w:p>
    <w:p w14:paraId="28655698"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wide array of responses to the questions in the survey reflects the diverse experiences and perspectives of the respondents. Responses to the survey questions were likely influenced by a respondent's background and experience, including his/her professional experience, the level of familiarity he/she has with online arbitration processes, and his/her level of interaction with the legal system in the UAE.</w:t>
      </w:r>
    </w:p>
    <w:p w14:paraId="52B7D76A"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In addition, the dynamic nature of online arbitration, combined with geographic and cultural differences, may also have contributed to the diversity of views represented in the survey.</w:t>
      </w:r>
    </w:p>
    <w:p w14:paraId="71CFE14F" w14:textId="77777777" w:rsidR="00213C10" w:rsidRPr="008819FD" w:rsidRDefault="00213C10" w:rsidP="00E77165">
      <w:pPr>
        <w:shd w:val="clear" w:color="auto" w:fill="FFFFFF"/>
        <w:spacing w:line="480" w:lineRule="auto"/>
        <w:ind w:firstLine="720"/>
        <w:rPr>
          <w:rFonts w:asciiTheme="majorBidi" w:eastAsia="Calibri" w:hAnsiTheme="majorBidi" w:cstheme="majorBidi"/>
          <w:color w:val="000000"/>
        </w:rPr>
      </w:pPr>
    </w:p>
    <w:p w14:paraId="4F0391CE" w14:textId="77777777" w:rsidR="00F073C0" w:rsidRPr="008819FD" w:rsidRDefault="005438D5" w:rsidP="005A4670">
      <w:pPr>
        <w:pStyle w:val="Heading1"/>
        <w:rPr>
          <w:rFonts w:asciiTheme="majorBidi" w:eastAsia="Times New Roman" w:hAnsiTheme="majorBidi" w:cstheme="majorBidi"/>
          <w:lang w:bidi="en-US"/>
        </w:rPr>
      </w:pPr>
      <w:bookmarkStart w:id="383" w:name="_Toc169116989"/>
      <w:bookmarkStart w:id="384" w:name="_Toc190813337"/>
      <w:bookmarkStart w:id="385" w:name="_Toc209627001"/>
      <w:bookmarkStart w:id="386" w:name="_Toc217491649"/>
      <w:bookmarkStart w:id="387" w:name="_Toc221804597"/>
      <w:r>
        <w:rPr>
          <w:rFonts w:asciiTheme="majorBidi" w:eastAsia="Times New Roman" w:hAnsiTheme="majorBidi" w:cstheme="majorBidi"/>
          <w:lang w:bidi="en-US"/>
        </w:rPr>
        <w:lastRenderedPageBreak/>
        <w:t>: Findings, Contribution, and Conclusion</w:t>
      </w:r>
      <w:bookmarkStart w:id="388" w:name="_Toc169116990"/>
      <w:bookmarkEnd w:id="383"/>
      <w:bookmarkEnd w:id="384"/>
      <w:bookmarkEnd w:id="385"/>
      <w:bookmarkEnd w:id="386"/>
      <w:bookmarkEnd w:id="387"/>
    </w:p>
    <w:p w14:paraId="56FD5A49" w14:textId="77777777" w:rsidR="00F073C0" w:rsidRPr="008819FD" w:rsidRDefault="00F073C0" w:rsidP="00663759">
      <w:pPr>
        <w:pStyle w:val="Heading2"/>
        <w:rPr>
          <w:rFonts w:asciiTheme="majorBidi" w:hAnsiTheme="majorBidi" w:cstheme="majorBidi"/>
          <w:sz w:val="24"/>
          <w:szCs w:val="24"/>
        </w:rPr>
      </w:pPr>
      <w:bookmarkStart w:id="389" w:name="_Toc190813338"/>
      <w:bookmarkStart w:id="390" w:name="_Toc209627002"/>
      <w:bookmarkStart w:id="391" w:name="_Toc217491650"/>
      <w:bookmarkStart w:id="392" w:name="_Toc221804598"/>
      <w:r>
        <w:rPr>
          <w:rFonts w:asciiTheme="majorBidi" w:hAnsiTheme="majorBidi" w:cstheme="majorBidi"/>
          <w:sz w:val="24"/>
          <w:szCs w:val="24"/>
        </w:rPr>
        <w:t>Introduction</w:t>
      </w:r>
      <w:bookmarkEnd w:id="389"/>
      <w:bookmarkEnd w:id="390"/>
      <w:bookmarkEnd w:id="391"/>
      <w:bookmarkEnd w:id="392"/>
    </w:p>
    <w:p w14:paraId="507D832D"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present chapter is a summary of the results of the current research project (study) which describe the implications of online arbitration concerning legal recognition, technical developments and security problems; the success of the further development of online arbitration will be dependent upon legal framework unification, the development of secure electronic arbitration systems and the establishment of standards of best practice for virtual conflict resolution; In addition, the contribution of the current research to both academic and professional areas of application, as well as to provide recommendations and guidelines for enhancing the speed and credibility of online arbitration by businesses, lawyers and arbitral institutions.</w:t>
      </w:r>
    </w:p>
    <w:p w14:paraId="7A1E3B52" w14:textId="77777777" w:rsidR="00F073C0" w:rsidRPr="008819FD" w:rsidRDefault="00F073C0" w:rsidP="00663759">
      <w:pPr>
        <w:pStyle w:val="Heading2"/>
        <w:rPr>
          <w:rFonts w:asciiTheme="majorBidi" w:hAnsiTheme="majorBidi" w:cstheme="majorBidi"/>
          <w:sz w:val="24"/>
          <w:szCs w:val="24"/>
        </w:rPr>
      </w:pPr>
      <w:bookmarkStart w:id="393" w:name="_Toc190813339"/>
      <w:bookmarkStart w:id="394" w:name="_Toc209627003"/>
      <w:bookmarkStart w:id="395" w:name="_Toc217491651"/>
      <w:bookmarkStart w:id="396" w:name="_Toc221804599"/>
      <w:r>
        <w:rPr>
          <w:rFonts w:asciiTheme="majorBidi" w:hAnsiTheme="majorBidi" w:cstheme="majorBidi"/>
          <w:sz w:val="24"/>
          <w:szCs w:val="24"/>
        </w:rPr>
        <w:t>Findings</w:t>
      </w:r>
      <w:bookmarkEnd w:id="388"/>
      <w:bookmarkEnd w:id="393"/>
      <w:bookmarkEnd w:id="394"/>
      <w:bookmarkEnd w:id="395"/>
      <w:bookmarkEnd w:id="396"/>
      <w:r>
        <w:rPr>
          <w:rFonts w:asciiTheme="majorBidi" w:hAnsiTheme="majorBidi" w:cstheme="majorBidi"/>
          <w:sz w:val="24"/>
          <w:szCs w:val="24"/>
        </w:rPr>
        <w:t xml:space="preserve"> </w:t>
      </w:r>
    </w:p>
    <w:p w14:paraId="74D6C128" w14:textId="77777777" w:rsidR="00F073C0" w:rsidRPr="008819FD" w:rsidRDefault="00213C10" w:rsidP="009F5ACD">
      <w:pPr>
        <w:pStyle w:val="Heading3"/>
        <w:rPr>
          <w:rFonts w:asciiTheme="majorBidi" w:hAnsiTheme="majorBidi" w:cstheme="majorBidi"/>
        </w:rPr>
      </w:pPr>
      <w:bookmarkStart w:id="397" w:name="_Toc190813340"/>
      <w:bookmarkStart w:id="398" w:name="_Toc209627004"/>
      <w:bookmarkStart w:id="399" w:name="_Toc217491652"/>
      <w:bookmarkStart w:id="400" w:name="_Toc221804600"/>
      <w:r>
        <w:rPr>
          <w:rFonts w:asciiTheme="majorBidi" w:eastAsia="Times New Roman" w:hAnsiTheme="majorBidi" w:cstheme="majorBidi"/>
        </w:rPr>
        <w:t xml:space="preserve">7.2.1 </w:t>
      </w:r>
      <w:r>
        <w:rPr>
          <w:rFonts w:asciiTheme="majorBidi" w:hAnsiTheme="majorBidi" w:cstheme="majorBidi"/>
        </w:rPr>
        <w:t>Summary of Theoretical Findings</w:t>
      </w:r>
      <w:bookmarkEnd w:id="397"/>
      <w:bookmarkEnd w:id="398"/>
      <w:bookmarkEnd w:id="399"/>
      <w:bookmarkEnd w:id="400"/>
      <w:r>
        <w:rPr>
          <w:rFonts w:asciiTheme="majorBidi" w:hAnsiTheme="majorBidi" w:cstheme="majorBidi"/>
        </w:rPr>
        <w:t xml:space="preserve"> </w:t>
      </w:r>
    </w:p>
    <w:p w14:paraId="6DBD0BD9" w14:textId="77777777" w:rsidR="00F073C0" w:rsidRPr="008819FD" w:rsidRDefault="00F073C0" w:rsidP="00664877">
      <w:pPr>
        <w:pStyle w:val="NormalWeb"/>
        <w:spacing w:line="480" w:lineRule="auto"/>
        <w:ind w:firstLine="720"/>
        <w:rPr>
          <w:rFonts w:asciiTheme="majorBidi" w:hAnsiTheme="majorBidi" w:cstheme="majorBidi"/>
        </w:rPr>
      </w:pPr>
      <w:r>
        <w:rPr>
          <w:rFonts w:asciiTheme="majorBidi" w:hAnsiTheme="majorBidi" w:cstheme="majorBidi"/>
        </w:rPr>
        <w:t>The research examines several key components of theory related to different elements of online dispute resolution (ODR) and the possible future aspects of it. This theoretical analysis is intended to contribute to the growth of ODR in the UAE using online arbitration which has become increasingly popular. To evaluate the implications of the COVID-19 pandemic for the growth of ODR, this study considers key drivers such as cost-effectiveness and the accelerated adoption of e-arbitration.</w:t>
      </w:r>
    </w:p>
    <w:p w14:paraId="087C6877" w14:textId="77777777" w:rsidR="00F073C0" w:rsidRPr="008819FD" w:rsidRDefault="00F073C0" w:rsidP="00664877">
      <w:pPr>
        <w:pStyle w:val="NormalWeb"/>
        <w:spacing w:line="480" w:lineRule="auto"/>
        <w:ind w:firstLine="720"/>
        <w:rPr>
          <w:rFonts w:asciiTheme="majorBidi" w:hAnsiTheme="majorBidi" w:cstheme="majorBidi"/>
        </w:rPr>
      </w:pPr>
      <w:r>
        <w:rPr>
          <w:rFonts w:asciiTheme="majorBidi" w:hAnsiTheme="majorBidi" w:cstheme="majorBidi"/>
        </w:rPr>
        <w:t xml:space="preserve">The literature review demonstrated that e-arbitration has many advantages compared to traditional methods. The literature reviews indicated that e-arbitration offers greater efficiency </w:t>
      </w:r>
      <w:r>
        <w:rPr>
          <w:rFonts w:asciiTheme="majorBidi" w:hAnsiTheme="majorBidi" w:cstheme="majorBidi"/>
        </w:rPr>
        <w:lastRenderedPageBreak/>
        <w:t>than traditional arbitration; potentially at a lower cost and is more convenient. ODR provides increased access to justice for parties that are geographically distant and therefore the literature is very relevant to this scenario. The other two themes identified by the literature were security risks associated with data breaches and the protection of individual's privacy. The literature review also revealed that there are no clear legal frameworks or amendments to current arbitration laws to adapt to the complexities of online arbitration proceedings. Another theme was the possible implications to due process and fairness particularly as regards to virtual hearings. Focusing on the UAE, the review of literature covers broader trends and the need to adopt existing UAE arbitration laws to address online procedures and accountability for potential theoretical contributions. The literature review suggested that ODR is expected to be an increasing component of dispute resolution.</w:t>
      </w:r>
    </w:p>
    <w:p w14:paraId="27C04E9C" w14:textId="77777777" w:rsidR="00E77165"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Secondary research indicates the online arbitration provision has enhanced the ability of the UAE authority to expedite the resolution and hearings of pending legal cases on an immediate basis for providing speedy justice to victims as quickly as possible by minimizing the amount of time required between communication with no gaps in the flow of communication. Secondary research indicates online arbitration has significantly increased accessibility to digital evidence, justice, and liberty rights for residents both locally and remotely located due to dispute management and hearing processes. Validation for this competitive advantage in terms of online arbitration has been generated through the enhancement of justice in identifying risks.</w:t>
      </w:r>
      <w:r>
        <w:rPr>
          <w:rFonts w:asciiTheme="majorBidi" w:eastAsia="Calibri" w:hAnsiTheme="majorBidi" w:cstheme="majorBidi"/>
          <w:color w:val="000000"/>
        </w:rPr>
        <w:br/>
      </w:r>
    </w:p>
    <w:p w14:paraId="1794850D" w14:textId="77777777" w:rsidR="00E77165"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The online arbitration process is the most significant factor in generating a multitude of concerns and problems in relation to the traditional adjudicative process. Secondary research </w:t>
      </w:r>
      <w:r>
        <w:rPr>
          <w:rFonts w:asciiTheme="majorBidi" w:eastAsia="Calibri" w:hAnsiTheme="majorBidi" w:cstheme="majorBidi"/>
          <w:color w:val="000000"/>
        </w:rPr>
        <w:lastRenderedPageBreak/>
        <w:t>indicates that online arbitration is one of the primary means of resolving disputes using arbitration methods that are typically executed via digital mediums or through communication tools. The integration of traditional arbitration with the application of advanced technology in modern online arbitration enhances the process of facilitating efficiency and rapidity while being cost-effective.</w:t>
      </w:r>
      <w:r>
        <w:rPr>
          <w:rFonts w:asciiTheme="majorBidi" w:eastAsia="Calibri" w:hAnsiTheme="majorBidi" w:cstheme="majorBidi"/>
          <w:color w:val="000000"/>
        </w:rPr>
        <w:br/>
        <w:t xml:space="preserve">Online arbitration also employs a unique algorithm that eliminates any need for physical presence or hearing for the purpose of identifying and resolving disputes appropriately. </w:t>
      </w:r>
    </w:p>
    <w:p w14:paraId="37C0F70D" w14:textId="77777777" w:rsidR="00F073C0" w:rsidRPr="008819FD" w:rsidRDefault="00F073C0" w:rsidP="00E7716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Additionally, the flexible nature of online arbitration provides organisational parties and scheduling opportunities to contribute to efficient proceedings, in addition to reducing delays compared to traditional courts. Online arbitration also contributes to accessibility; parties all over the world may create an arbitration process from anywhere, including remote areas and regions, and with access to the Virtual. The online arbitration platform enables inscription for utilizing and offers numerous secure channels for protecting sensitive information for the extended period. Conversely, traditional adjudication is hindered by the lack of technological integration for protecting data and accessibility hampers online arbitration.</w:t>
      </w:r>
    </w:p>
    <w:p w14:paraId="00D27176" w14:textId="6A9AED8A" w:rsidR="00F073C0" w:rsidRPr="008819FD" w:rsidRDefault="00F073C0" w:rsidP="000851F5">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Therefore, the literature supports the following hypothesis:</w:t>
      </w:r>
      <w:r>
        <w:rPr>
          <w:rFonts w:asciiTheme="majorBidi" w:eastAsia="Calibri" w:hAnsiTheme="majorBidi" w:cstheme="majorBidi"/>
          <w:color w:val="000000"/>
        </w:rPr>
        <w:br/>
        <w:t xml:space="preserve">H1: Online arbitration generates a competitive advantage in terms of faster and more cost-effective resolution of disputes. </w:t>
      </w:r>
      <w:r>
        <w:rPr>
          <w:rFonts w:asciiTheme="majorBidi" w:eastAsia="Calibri" w:hAnsiTheme="majorBidi" w:cstheme="majorBidi"/>
          <w:color w:val="000000"/>
        </w:rPr>
        <w:br/>
      </w:r>
      <w:r w:rsidR="000851F5" w:rsidRPr="000851F5">
        <w:rPr>
          <w:rFonts w:asciiTheme="majorBidi" w:eastAsia="Calibri" w:hAnsiTheme="majorBidi" w:cstheme="majorBidi"/>
          <w:color w:val="000000"/>
        </w:rPr>
        <w:t xml:space="preserve"> </w:t>
      </w:r>
      <w:r w:rsidR="000851F5">
        <w:rPr>
          <w:rFonts w:asciiTheme="majorBidi" w:eastAsia="Calibri" w:hAnsiTheme="majorBidi" w:cstheme="majorBidi"/>
          <w:color w:val="000000"/>
        </w:rPr>
        <w:t xml:space="preserve">This hypothesis was examined not through a comparative analysis of case law, but through the mixed-method design adopted in this study, which combined a review of the literature with empirical evidence gathered from the survey and the interviews concerning the perceived efficiency and cost-effectiveness of online arbitration. The findings provided broad support for </w:t>
      </w:r>
      <w:r w:rsidR="000851F5">
        <w:rPr>
          <w:rFonts w:asciiTheme="majorBidi" w:eastAsia="Calibri" w:hAnsiTheme="majorBidi" w:cstheme="majorBidi"/>
          <w:color w:val="000000"/>
        </w:rPr>
        <w:lastRenderedPageBreak/>
        <w:t>H1: respondents and interviewees consistently associated online arbitration with faster and more cost-effective dispute resolution, a perception that is consistent with the position reported in the literature.</w:t>
      </w:r>
      <w:r>
        <w:rPr>
          <w:rFonts w:asciiTheme="majorBidi" w:eastAsia="Calibri" w:hAnsiTheme="majorBidi" w:cstheme="majorBidi"/>
          <w:color w:val="000000"/>
        </w:rPr>
        <w:t>.</w:t>
      </w:r>
    </w:p>
    <w:p w14:paraId="24577723"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Theoretical knowledge was obtained that relates to correct arbitration in the UAE, and then relates to the arbitration institute and to the procedural requirements for an arbitration agreement. It has been identified that Article 7 of Federal Decree-Law Number 34 of 2021 contains provisions related to the protection of privacy and data online, and therefore this article aims to enhance data protection which will lead to increased problem-solving capabilities, as well as provide enhanced safety measures for consumer data. It has also been established that the confidentiality, as well as the information provided by the parties involved in the dispute resolution process will be maintained, thus facilitating the ability to effectively communicate between the parties when submitting documentation through a virtual platform. It has also been determined that the Personal Data Protection Law, Federal Decree Law 45 of 2021, has been implemented to establish the highest level of confidentiality for individuals, and therefore protect their right to privacy. It has also been noted that the arbitration law in the UAE has established liability for online attributes to ensure that the confidentiality of the information is preserved, to improve data security, and to develop the arbitration process.</w:t>
      </w:r>
    </w:p>
    <w:p w14:paraId="4A824731"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It has also been established that the UAE has taken advantage of the internet to facilitate the resolution of disputes using current country-specific protocols regarding organisations being represented from the Federal Law Number 6 of 2018, which relates to the arbitration process. It has also been established that the permitted parties can opt out of utilizing an electronic method of communication during the arbitration process. It has been noted that the Dubai International Financial Centre (DIFC) has developed a legal framework </w:t>
      </w:r>
      <w:r>
        <w:rPr>
          <w:rFonts w:asciiTheme="majorBidi" w:eastAsia="Calibri" w:hAnsiTheme="majorBidi" w:cstheme="majorBidi"/>
          <w:color w:val="000000"/>
        </w:rPr>
        <w:lastRenderedPageBreak/>
        <w:t>for virtual arbitration, and thereby created guidelines for influencing methods of communication, as well as the delivery of arbitral awards, and online hearings.</w:t>
      </w:r>
    </w:p>
    <w:p w14:paraId="02F2011A"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There are various types of protocols, and legislative frameworks that relate to the process of virtual arbitration, such as the personal law of data protection contained in the federal decree law number 45 of 2021, and the data privacy protection contained in the federal law number 15 of 2020. In addition, it is understood that within the system of federal decree law number 45 of 2021, the parties are responsible for ensuring that the medium, or platform used for the virtual arbitration process are strictly governed by data protection laws and protocols, and that they utilise different credentials to secure and protect individual data in a secure and confidential manner.</w:t>
      </w:r>
    </w:p>
    <w:p w14:paraId="1920F998" w14:textId="77777777" w:rsidR="00F073C0" w:rsidRPr="008819FD" w:rsidRDefault="00F073C0" w:rsidP="00664877">
      <w:pPr>
        <w:pStyle w:val="NormalWeb"/>
        <w:spacing w:line="480" w:lineRule="auto"/>
        <w:ind w:firstLine="720"/>
        <w:rPr>
          <w:rFonts w:asciiTheme="majorBidi" w:hAnsiTheme="majorBidi" w:cstheme="majorBidi"/>
        </w:rPr>
      </w:pPr>
      <w:bookmarkStart w:id="401" w:name="_Toc190813341"/>
      <w:bookmarkStart w:id="402" w:name="_Toc209627005"/>
      <w:bookmarkStart w:id="403" w:name="_Toc217491653"/>
      <w:r>
        <w:rPr>
          <w:rFonts w:asciiTheme="majorBidi" w:hAnsiTheme="majorBidi" w:cstheme="majorBidi"/>
        </w:rPr>
        <w:t xml:space="preserve">The use of data inscription has made sure that the data can be stored safely by limiting the amount of unauthorised access to sensitive credentials. The use of data inscription has also contributed to creating an awareness about who the different types of stakeholders are in the arbitration process and how their participation is important in protecting the privacy of data. Data inscription has provided assurance that the methods used to protect the data, as well as the processes used, align with the requirements of the arbitration process so that unauthorised access to the database of the data being stored is prevented. In addition to the many different types of data protection laws in the UAE, any processing or accessing of personal information or any type of data of the parties involved must have the permission and consent of the data owner for the purpose of maintaining confidentiality. As far as the comprehension of various types of results are concerned, it is clear that the use of online arbitration contributes to increased efficiencies and also improves the judicial systems of the UAE to resolve </w:t>
      </w:r>
      <w:r>
        <w:rPr>
          <w:rFonts w:asciiTheme="majorBidi" w:hAnsiTheme="majorBidi" w:cstheme="majorBidi"/>
        </w:rPr>
        <w:lastRenderedPageBreak/>
        <w:t>commercial as well as non-commercial disputes through the utilization of digital power and the ease of access to the virtual.</w:t>
      </w:r>
    </w:p>
    <w:p w14:paraId="21140A13" w14:textId="77777777" w:rsidR="00F073C0" w:rsidRPr="008819FD" w:rsidRDefault="00213C10" w:rsidP="009F5ACD">
      <w:pPr>
        <w:pStyle w:val="Heading3"/>
        <w:rPr>
          <w:rFonts w:asciiTheme="majorBidi" w:hAnsiTheme="majorBidi" w:cstheme="majorBidi"/>
        </w:rPr>
      </w:pPr>
      <w:bookmarkStart w:id="404" w:name="_Toc221804601"/>
      <w:r>
        <w:rPr>
          <w:rFonts w:asciiTheme="majorBidi" w:eastAsia="Times New Roman" w:hAnsiTheme="majorBidi" w:cstheme="majorBidi"/>
        </w:rPr>
        <w:t xml:space="preserve">7.2.2 </w:t>
      </w:r>
      <w:r>
        <w:rPr>
          <w:rFonts w:asciiTheme="majorBidi" w:hAnsiTheme="majorBidi" w:cstheme="majorBidi"/>
        </w:rPr>
        <w:t>Summary of Empirical Findings</w:t>
      </w:r>
      <w:bookmarkEnd w:id="401"/>
      <w:bookmarkEnd w:id="402"/>
      <w:bookmarkEnd w:id="403"/>
      <w:bookmarkEnd w:id="404"/>
    </w:p>
    <w:p w14:paraId="18D33AD2" w14:textId="77777777" w:rsidR="00F073C0" w:rsidRPr="008819FD" w:rsidRDefault="00F073C0" w:rsidP="00664877">
      <w:pPr>
        <w:pStyle w:val="NormalWeb"/>
        <w:spacing w:line="480" w:lineRule="auto"/>
        <w:ind w:firstLine="720"/>
        <w:rPr>
          <w:rFonts w:asciiTheme="majorBidi" w:hAnsiTheme="majorBidi" w:cstheme="majorBidi"/>
        </w:rPr>
      </w:pPr>
      <w:r>
        <w:rPr>
          <w:rFonts w:asciiTheme="majorBidi" w:hAnsiTheme="majorBidi" w:cstheme="majorBidi"/>
        </w:rPr>
        <w:t>This study's field work involved conducting a total of fifteen, semi-structured interviews with an intentionally selected group of arbitration professionals within the United Arab Emirates (UAE) which included arbitrators, attorneys, professors, as well as representatives from institutions providing arbitration services. The interviews were designed to provide in-depth, detailed information about how effective online arbitration has been in the UAE; whether the current laws, regulations, and/or policies supporting arbitration have provided adequate support; and what future reforms could be implemented to keep pace with the rapidly evolving digital environment. The interviews also enabled each participant to discuss their experience with online arbitration, describe their concerns in relation to confidentiality, procedural efficiencies and cross border recognition of awards, and offer suggestions as to how the UAE can strengthen its arbitration landscape. Analysis of the comments made by the interviewees produced numerous important findings, each addressing one or more of the research questions and thus contributing to the overall understanding of the benefits and drawbacks associated with online arbitration.</w:t>
      </w:r>
    </w:p>
    <w:p w14:paraId="7A843B70" w14:textId="77777777" w:rsidR="00F073C0" w:rsidRPr="008819FD" w:rsidRDefault="00792DB8" w:rsidP="009F5ACD">
      <w:pPr>
        <w:pStyle w:val="Heading3"/>
        <w:rPr>
          <w:rFonts w:asciiTheme="majorBidi" w:hAnsiTheme="majorBidi" w:cstheme="majorBidi"/>
        </w:rPr>
      </w:pPr>
      <w:bookmarkStart w:id="405" w:name="_Toc221804602"/>
      <w:r>
        <w:rPr>
          <w:rFonts w:asciiTheme="majorBidi" w:hAnsiTheme="majorBidi" w:cstheme="majorBidi"/>
        </w:rPr>
        <w:t xml:space="preserve">7.2.2.1 Adequacy of the </w:t>
      </w:r>
      <w:r>
        <w:rPr>
          <w:rFonts w:asciiTheme="majorBidi" w:eastAsia="Times New Roman" w:hAnsiTheme="majorBidi" w:cstheme="majorBidi"/>
        </w:rPr>
        <w:t>Current</w:t>
      </w:r>
      <w:r>
        <w:rPr>
          <w:rFonts w:asciiTheme="majorBidi" w:hAnsiTheme="majorBidi" w:cstheme="majorBidi"/>
        </w:rPr>
        <w:t xml:space="preserve"> Legislative Framework</w:t>
      </w:r>
      <w:bookmarkEnd w:id="405"/>
    </w:p>
    <w:p w14:paraId="3DE93DE2" w14:textId="5497B67A"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One of the most significant results from this study demonstrates that although the UAE's Federal Arbitration Law (No. 6 of 2018) establishes a robust legal structure for arbitration generally, it has been identified by participants as inadequate in the context of online commercial arbitration in the digital space. The study found that the law lacks explicit </w:t>
      </w:r>
      <w:r>
        <w:rPr>
          <w:rFonts w:asciiTheme="majorBidi" w:eastAsia="Calibri" w:hAnsiTheme="majorBidi" w:cstheme="majorBidi"/>
          <w:color w:val="000000"/>
        </w:rPr>
        <w:lastRenderedPageBreak/>
        <w:t>regulation over the following: the electronic submission process; conducting hearings via an virtual based platform; how to manage sensitive information during virtual arbitration proceedings. While some participants described the law as "partially sufficient," they also noted that while it provides broad recognition of arbitration in the UAE it fails to provide adequate detail as to the nuances required for the protection of confidential information, and for cybersecurity, within today's digital space. As such, it appears that additional legislative reform, whether through the development of a specific law regarding online arbitration</w:t>
      </w:r>
      <w:r w:rsidR="000851F5" w:rsidRPr="000851F5">
        <w:rPr>
          <w:rFonts w:asciiTheme="majorBidi" w:eastAsia="Calibri" w:hAnsiTheme="majorBidi" w:cstheme="majorBidi"/>
          <w:color w:val="000000"/>
        </w:rPr>
        <w:t xml:space="preserve"> </w:t>
      </w:r>
      <w:r w:rsidR="000851F5">
        <w:rPr>
          <w:rFonts w:asciiTheme="majorBidi" w:eastAsia="Calibri" w:hAnsiTheme="majorBidi" w:cstheme="majorBidi"/>
          <w:color w:val="000000"/>
        </w:rPr>
        <w:t>or through targeted amendments to the existing Arbitration Law (Federal Law No. 6 of 2018) and the Personal Data Protection Law (Federal Decree-Law No. 45 of 2021), is necessary to address the regulatory gaps identified above.</w:t>
      </w:r>
    </w:p>
    <w:p w14:paraId="37F7ED3B" w14:textId="77777777" w:rsidR="00F073C0" w:rsidRPr="008819FD" w:rsidRDefault="00792DB8" w:rsidP="009F5ACD">
      <w:pPr>
        <w:pStyle w:val="Heading3"/>
        <w:rPr>
          <w:rFonts w:asciiTheme="majorBidi" w:hAnsiTheme="majorBidi" w:cstheme="majorBidi"/>
        </w:rPr>
      </w:pPr>
      <w:bookmarkStart w:id="406" w:name="_Toc221804603"/>
      <w:r>
        <w:rPr>
          <w:rFonts w:asciiTheme="majorBidi" w:hAnsiTheme="majorBidi" w:cstheme="majorBidi"/>
        </w:rPr>
        <w:t>7.2.2.2 Compatibility with International Standards</w:t>
      </w:r>
      <w:bookmarkEnd w:id="406"/>
    </w:p>
    <w:p w14:paraId="3D54BA03" w14:textId="77777777" w:rsidR="00F073C0" w:rsidRPr="008819FD" w:rsidRDefault="00F073C0" w:rsidP="00664877">
      <w:pPr>
        <w:pStyle w:val="NormalWeb"/>
        <w:spacing w:line="480" w:lineRule="auto"/>
        <w:ind w:firstLine="720"/>
        <w:rPr>
          <w:rFonts w:asciiTheme="majorBidi" w:hAnsiTheme="majorBidi" w:cstheme="majorBidi"/>
        </w:rPr>
      </w:pPr>
      <w:r>
        <w:rPr>
          <w:rFonts w:asciiTheme="majorBidi" w:hAnsiTheme="majorBidi" w:cstheme="majorBidi"/>
        </w:rPr>
        <w:t>Another finding to emerge from the interviews is that, while there are similarities between UAE arbitration practice and international norms (such as the UNCITRAL Model Law and GDPR), the two systems are also different in several ways. While some arbitral institutions in the UAE (e.g., DIAC and ADGM) have developed digital hearing platforms which use encryption, respondents noted that lack of a statutory requirement for the UAE to follow international data protection requirements limits the credibility of UAE arbitration for cross-border cases. A few respondents stated that compliance with global norms is not just a "good thing", it is required if an award is to be enforced outside of the UAE, or by foreign entities that expect familiarity with widely accepted international standards.</w:t>
      </w:r>
    </w:p>
    <w:p w14:paraId="7670ED2A" w14:textId="77777777" w:rsidR="00F073C0" w:rsidRPr="008819FD" w:rsidRDefault="00792DB8" w:rsidP="009F5ACD">
      <w:pPr>
        <w:pStyle w:val="Heading3"/>
        <w:rPr>
          <w:rFonts w:asciiTheme="majorBidi" w:hAnsiTheme="majorBidi" w:cstheme="majorBidi"/>
        </w:rPr>
      </w:pPr>
      <w:bookmarkStart w:id="407" w:name="_Toc221804604"/>
      <w:r>
        <w:rPr>
          <w:rFonts w:asciiTheme="majorBidi" w:hAnsiTheme="majorBidi" w:cstheme="majorBidi"/>
        </w:rPr>
        <w:lastRenderedPageBreak/>
        <w:t>7.2.2.3 Procedural Challenges in Online Arbitration</w:t>
      </w:r>
      <w:bookmarkEnd w:id="407"/>
    </w:p>
    <w:p w14:paraId="6547498F" w14:textId="77777777" w:rsidR="00F073C0" w:rsidRPr="008819FD" w:rsidRDefault="00F073C0" w:rsidP="00664877">
      <w:pPr>
        <w:pStyle w:val="NormalWeb"/>
        <w:spacing w:line="480" w:lineRule="auto"/>
        <w:ind w:firstLine="720"/>
        <w:rPr>
          <w:rFonts w:asciiTheme="majorBidi" w:hAnsiTheme="majorBidi" w:cstheme="majorBidi"/>
        </w:rPr>
      </w:pPr>
      <w:r>
        <w:rPr>
          <w:rFonts w:asciiTheme="majorBidi" w:hAnsiTheme="majorBidi" w:cstheme="majorBidi"/>
        </w:rPr>
        <w:t>Thirdly, several respondents identified procedural problems that are likely to impede the performance of online arbitration. Online arbitration is often subject to technical problems (e.g., instability of the virtual connection; heterogeneity of the digital architecture of the institutions) and the lack of standardised protocols for conducting online hearings, with many arbitrators and parties having to improvise at each hearing. These inconsistencies have been viewed by some as creating uncertainty regarding the predictability and fairness of online arbitration. Unless institutions develop common digital rules governing the conduct of hearings, authentication of parties, and exchange of documents, online arbitration in the UAE will be hampered by inefficiency and credibility gaps.</w:t>
      </w:r>
    </w:p>
    <w:p w14:paraId="7ADDE2F7" w14:textId="77777777" w:rsidR="00F073C0" w:rsidRPr="008819FD" w:rsidRDefault="00792DB8" w:rsidP="00AF08DA">
      <w:pPr>
        <w:pStyle w:val="Heading4"/>
      </w:pPr>
      <w:r>
        <w:t>7.2.2.4 Confidentiality and Data Protection Concerns</w:t>
      </w:r>
    </w:p>
    <w:p w14:paraId="2D590CC7" w14:textId="77777777" w:rsidR="00F073C0" w:rsidRPr="008819FD" w:rsidRDefault="00F073C0" w:rsidP="00664877">
      <w:pPr>
        <w:pStyle w:val="NormalWeb"/>
        <w:spacing w:line="480" w:lineRule="auto"/>
        <w:ind w:firstLine="720"/>
        <w:rPr>
          <w:rFonts w:asciiTheme="majorBidi" w:hAnsiTheme="majorBidi" w:cstheme="majorBidi"/>
        </w:rPr>
      </w:pPr>
      <w:r>
        <w:rPr>
          <w:rFonts w:asciiTheme="majorBidi" w:hAnsiTheme="majorBidi" w:cstheme="majorBidi"/>
        </w:rPr>
        <w:t xml:space="preserve">A fourth issue was also a consistent finding throughout the interview process - the worry of how confidentiality and privacy will be maintained using online arbitration platforms. Several of the participants stated that while most arbitration organisations have used some form of basic security (encryption) to maintain confidentiality and protect data from unauthorised access, there has been human error on behalf of the organisation's staff members when handling confidential information that resulted in unauthorised access to confidential data. The participants also noted that the enforcement of confidentiality agreements is very poor; although many institutional rules require confidentiality, the breaches are difficult to identify and once identified it can be very challenging to act against the breach. Additionally, the participants mentioned that international disputes add another layer of vulnerability with respect to the risk of data breaches because not all jurisdictions involved in an arbitration proceeding may have data protection laws that are equally effective. The </w:t>
      </w:r>
      <w:r>
        <w:rPr>
          <w:rFonts w:asciiTheme="majorBidi" w:hAnsiTheme="majorBidi" w:cstheme="majorBidi"/>
        </w:rPr>
        <w:lastRenderedPageBreak/>
        <w:t>findings of this research clearly indicate that there is a pressing need for strong legislative protections and regulations backed by governments to provide additional layers of protection beyond those offered by arbitration organisations.</w:t>
      </w:r>
    </w:p>
    <w:p w14:paraId="4C4BE943" w14:textId="77777777" w:rsidR="00F073C0" w:rsidRPr="008819FD" w:rsidRDefault="00792DB8" w:rsidP="00AF08DA">
      <w:pPr>
        <w:pStyle w:val="Heading4"/>
      </w:pPr>
      <w:r>
        <w:t>7.2.2.5 Effectiveness of Digital Platforms</w:t>
      </w:r>
    </w:p>
    <w:p w14:paraId="1740874F" w14:textId="77777777" w:rsidR="00F073C0" w:rsidRPr="008819FD" w:rsidRDefault="00F073C0" w:rsidP="00664877">
      <w:pPr>
        <w:pStyle w:val="NormalWeb"/>
        <w:spacing w:line="480" w:lineRule="auto"/>
        <w:ind w:firstLine="720"/>
        <w:rPr>
          <w:rFonts w:asciiTheme="majorBidi" w:hAnsiTheme="majorBidi" w:cstheme="majorBidi"/>
        </w:rPr>
      </w:pPr>
      <w:r>
        <w:rPr>
          <w:rFonts w:asciiTheme="majorBidi" w:hAnsiTheme="majorBidi" w:cstheme="majorBidi"/>
        </w:rPr>
        <w:t>Participants also noted that while there is a growing body of research on digital platforms currently being used in UAE Arbitration, participants believe that these tools have been successful in lowering the burden associated with logistics, cost savings, and expanding the ability to participate in arbitration by providing an opportunity for parties to interact from various jurisdictional locations. However, participants identified several issues, including the fact that many platforms can be difficult to use, and many users do not receive adequate training; and as such, occasionally, technical failures will occur during hearings, and cause disruption. Therefore, the general opinion was that digital platforms can be successful in theory; however, they need continued improvement, stronger security measures, and significant investment from institutions to fulfill the expectations of international stakeholders.</w:t>
      </w:r>
    </w:p>
    <w:p w14:paraId="21939E9E" w14:textId="77777777" w:rsidR="00F073C0" w:rsidRPr="008819FD" w:rsidRDefault="00792DB8" w:rsidP="00AF08DA">
      <w:pPr>
        <w:pStyle w:val="Heading4"/>
      </w:pPr>
      <w:r>
        <w:t>7.2.2.6 Need for Procedural Reforms</w:t>
      </w:r>
    </w:p>
    <w:p w14:paraId="3738E0BA" w14:textId="77777777" w:rsidR="00F073C0" w:rsidRPr="008819FD" w:rsidRDefault="00F073C0" w:rsidP="00664877">
      <w:pPr>
        <w:pStyle w:val="NormalWeb"/>
        <w:spacing w:line="480" w:lineRule="auto"/>
        <w:ind w:firstLine="720"/>
        <w:rPr>
          <w:rFonts w:asciiTheme="majorBidi" w:hAnsiTheme="majorBidi" w:cstheme="majorBidi"/>
        </w:rPr>
      </w:pPr>
      <w:r>
        <w:rPr>
          <w:rFonts w:asciiTheme="majorBidi" w:hAnsiTheme="majorBidi" w:cstheme="majorBidi"/>
        </w:rPr>
        <w:t xml:space="preserve">The Sixth finding was about an urgent need for process reform to enhance efficiency and flexibility within the online dispute resolution environment. Respondents felt that some of these needed reforms would include; creating centralized electronic repositories for documents, developing clear institutional procedures for managing remote or virtual hearings, providing for increased flexibility with regard to hearing schedules due to potential disruptions caused by technology issues, and potentially implementing advanced technologies such as artificial intelligence (AI) to aid in streamlining the processing of evidence, and providing </w:t>
      </w:r>
      <w:r>
        <w:rPr>
          <w:rFonts w:asciiTheme="majorBidi" w:hAnsiTheme="majorBidi" w:cstheme="majorBidi"/>
        </w:rPr>
        <w:lastRenderedPageBreak/>
        <w:t>instantaneous transcriptions during hearings. The respondents were recognizing that for there to be true efficiency within the online environment, both technological innovations and modernized processes must be developed to ensure that fairness is maintained.</w:t>
      </w:r>
    </w:p>
    <w:p w14:paraId="1C12046F" w14:textId="77777777" w:rsidR="00F073C0" w:rsidRPr="008819FD" w:rsidRDefault="00792DB8" w:rsidP="00AF08DA">
      <w:pPr>
        <w:pStyle w:val="Heading4"/>
      </w:pPr>
      <w:r>
        <w:t>7.2.2.7 Future of Online Arbitration and the Role of Legislation</w:t>
      </w:r>
    </w:p>
    <w:p w14:paraId="7A40C706"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A key outcome from the field work was a consensus among all participants about what the future of online arbitration should look like in the UAE; all experts agreed that there are a number of factors which make the UAE uniquely positioned to be a global centre for digital dispute resolution (for example, the UAE has made a significant investment in "smart courts," digital infrastructure and innovative arbitral institutions). All experts also warned however, that the long-term viability of this vision will depend upon the passage of new legislation. There were many who argued that the UAE's laws must develop at a pace sufficient to support evolving practices, to include mandatory minimum standards for issues such as cyber security, confidentiality and enforcement. Additionally, there were many who argued that the UAE's laws must be drafted in an enabling manner (as opposed to restrictive) allowing institutions to continue to innovate, while maintaining consistency and building</w:t>
      </w:r>
    </w:p>
    <w:p w14:paraId="222033EF" w14:textId="77777777" w:rsidR="00F073C0" w:rsidRPr="008819FD" w:rsidRDefault="00F073C0" w:rsidP="00663759">
      <w:pPr>
        <w:pStyle w:val="Heading2"/>
        <w:rPr>
          <w:rFonts w:asciiTheme="majorBidi" w:hAnsiTheme="majorBidi" w:cstheme="majorBidi"/>
          <w:sz w:val="24"/>
          <w:szCs w:val="24"/>
        </w:rPr>
      </w:pPr>
      <w:bookmarkStart w:id="408" w:name="_Toc190813342"/>
      <w:bookmarkStart w:id="409" w:name="_Toc209627006"/>
      <w:bookmarkStart w:id="410" w:name="_Toc217491654"/>
      <w:bookmarkStart w:id="411" w:name="_Toc221804605"/>
      <w:r>
        <w:rPr>
          <w:rFonts w:asciiTheme="majorBidi" w:hAnsiTheme="majorBidi" w:cstheme="majorBidi"/>
          <w:sz w:val="24"/>
          <w:szCs w:val="24"/>
        </w:rPr>
        <w:t>Recommendations</w:t>
      </w:r>
      <w:bookmarkEnd w:id="408"/>
      <w:bookmarkEnd w:id="409"/>
      <w:bookmarkEnd w:id="410"/>
      <w:bookmarkEnd w:id="411"/>
      <w:r>
        <w:rPr>
          <w:rFonts w:asciiTheme="majorBidi" w:hAnsiTheme="majorBidi" w:cstheme="majorBidi"/>
          <w:sz w:val="24"/>
          <w:szCs w:val="24"/>
        </w:rPr>
        <w:t xml:space="preserve"> </w:t>
      </w:r>
    </w:p>
    <w:p w14:paraId="487509F3" w14:textId="77777777" w:rsidR="00F073C0" w:rsidRPr="008819FD" w:rsidRDefault="00F073C0" w:rsidP="00664877">
      <w:pPr>
        <w:pStyle w:val="NormalWeb"/>
        <w:spacing w:line="480" w:lineRule="auto"/>
        <w:ind w:firstLine="720"/>
        <w:rPr>
          <w:rFonts w:asciiTheme="majorBidi" w:hAnsiTheme="majorBidi" w:cstheme="majorBidi"/>
        </w:rPr>
      </w:pPr>
      <w:bookmarkStart w:id="412" w:name="_Toc190813343"/>
      <w:bookmarkStart w:id="413" w:name="_Toc209627007"/>
      <w:bookmarkStart w:id="414" w:name="_Toc217491655"/>
      <w:r>
        <w:rPr>
          <w:rFonts w:asciiTheme="majorBidi" w:hAnsiTheme="majorBidi" w:cstheme="majorBidi"/>
        </w:rPr>
        <w:t xml:space="preserve">The need to protect confidentiality and maintain data privacy is becoming increasingly important as arbitration takes place more and more on-line, as it does in many other jurisdictions, and as it does in the UAE. Although there have been some developments in recent years regarding the arbitration law of the UAE, specifically, by virtue of Federal Law No. 6 of 2018 (the UAE Arbitration Law) which has brought UAE arbitration law closer to that applicable internationally, such as the UNCITRAL Model Law on International </w:t>
      </w:r>
      <w:r>
        <w:rPr>
          <w:rFonts w:asciiTheme="majorBidi" w:hAnsiTheme="majorBidi" w:cstheme="majorBidi"/>
        </w:rPr>
        <w:lastRenderedPageBreak/>
        <w:t>Commercial Arbitration; nevertheless, the issues related to cyber security, privacy and confidentiality presented by on-line arbitration require new legal protections and additional regulatory reform.</w:t>
      </w:r>
      <w:r>
        <w:rPr>
          <w:rFonts w:asciiTheme="majorBidi" w:hAnsiTheme="majorBidi" w:cstheme="majorBidi"/>
        </w:rPr>
        <w:br/>
        <w:t>In order to further strengthen the privacy and confidentiality provisions in respect of on-line arbitration in the context of the UAE legal system, the following recommendations are put forward.</w:t>
      </w:r>
    </w:p>
    <w:p w14:paraId="4D0B9CF9" w14:textId="77777777" w:rsidR="00792DB8" w:rsidRPr="008819FD" w:rsidRDefault="00792DB8" w:rsidP="009F5ACD">
      <w:pPr>
        <w:pStyle w:val="Heading3"/>
        <w:rPr>
          <w:rFonts w:asciiTheme="majorBidi" w:hAnsiTheme="majorBidi" w:cstheme="majorBidi"/>
        </w:rPr>
      </w:pPr>
      <w:bookmarkStart w:id="415" w:name="_Toc221804606"/>
      <w:bookmarkEnd w:id="412"/>
      <w:bookmarkEnd w:id="413"/>
      <w:bookmarkEnd w:id="414"/>
      <w:r>
        <w:rPr>
          <w:rFonts w:asciiTheme="majorBidi" w:hAnsiTheme="majorBidi" w:cstheme="majorBidi"/>
        </w:rPr>
        <w:t xml:space="preserve">7.2.2.1 Adequacy of the </w:t>
      </w:r>
      <w:r>
        <w:rPr>
          <w:rFonts w:asciiTheme="majorBidi" w:eastAsia="Times New Roman" w:hAnsiTheme="majorBidi" w:cstheme="majorBidi"/>
        </w:rPr>
        <w:t>Current</w:t>
      </w:r>
      <w:r>
        <w:rPr>
          <w:rFonts w:asciiTheme="majorBidi" w:hAnsiTheme="majorBidi" w:cstheme="majorBidi"/>
        </w:rPr>
        <w:t xml:space="preserve"> Legislative Framework</w:t>
      </w:r>
      <w:bookmarkEnd w:id="415"/>
    </w:p>
    <w:p w14:paraId="5191D34C"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While confidentiality is an essential component of arbitration, the UAE's arbitration laws contain no express provisions regarding data protection and cyber security issues in relation to online arbitration. It would therefore appear advisable to amend or supplement Federal Law No. 6 of 2018 by including confidentiality provisions which are specifically designed for use with electronic arbitration, thereby providing a clearer legal obligation upon all parties, arbitrators and arbitral institutions in relation to maintaining the privacy of electronic arbitration communications and records.</w:t>
      </w:r>
    </w:p>
    <w:p w14:paraId="6263F874"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p>
    <w:p w14:paraId="303F5EEC" w14:textId="77777777" w:rsidR="00F073C0" w:rsidRPr="008819FD" w:rsidRDefault="00792DB8" w:rsidP="009F5ACD">
      <w:pPr>
        <w:pStyle w:val="Heading3"/>
        <w:rPr>
          <w:rFonts w:asciiTheme="majorBidi" w:hAnsiTheme="majorBidi" w:cstheme="majorBidi"/>
        </w:rPr>
      </w:pPr>
      <w:bookmarkStart w:id="416" w:name="_Toc190813344"/>
      <w:bookmarkStart w:id="417" w:name="_Toc209627008"/>
      <w:bookmarkStart w:id="418" w:name="_Toc217491656"/>
      <w:bookmarkStart w:id="419" w:name="_Toc221804607"/>
      <w:r>
        <w:rPr>
          <w:rFonts w:asciiTheme="majorBidi" w:hAnsiTheme="majorBidi" w:cstheme="majorBidi"/>
        </w:rPr>
        <w:t>7.3.2 Adoption of Mandatory Data Protection and Cybersecurity Standards for Online Arbitration Platforms</w:t>
      </w:r>
      <w:bookmarkEnd w:id="416"/>
      <w:bookmarkEnd w:id="417"/>
      <w:bookmarkEnd w:id="418"/>
      <w:bookmarkEnd w:id="419"/>
    </w:p>
    <w:p w14:paraId="0A2942FA" w14:textId="77777777" w:rsidR="00F073C0" w:rsidRPr="008819FD" w:rsidRDefault="00F073C0" w:rsidP="00664877">
      <w:pPr>
        <w:pStyle w:val="NormalWeb"/>
        <w:spacing w:line="480" w:lineRule="auto"/>
        <w:ind w:firstLine="720"/>
        <w:rPr>
          <w:rFonts w:asciiTheme="majorBidi" w:hAnsiTheme="majorBidi" w:cstheme="majorBidi"/>
        </w:rPr>
      </w:pPr>
      <w:r>
        <w:rPr>
          <w:rFonts w:asciiTheme="majorBidi" w:hAnsiTheme="majorBidi" w:cstheme="majorBidi"/>
        </w:rPr>
        <w:t xml:space="preserve">Online Arbitration Platforms must be regulated in terms of Cybersecurity Standards to Protect arbitration related Information; </w:t>
      </w:r>
      <w:r>
        <w:rPr>
          <w:rFonts w:asciiTheme="majorBidi" w:hAnsiTheme="majorBidi" w:cstheme="majorBidi"/>
        </w:rPr>
        <w:br/>
        <w:t>The UAE Should Establish Data Protection Protocols from the General Data Protection Regulation (GDPR) and Mandate Online Arbitration Providers to:</w:t>
      </w:r>
      <w:r>
        <w:rPr>
          <w:rFonts w:asciiTheme="majorBidi" w:hAnsiTheme="majorBidi" w:cstheme="majorBidi"/>
        </w:rPr>
        <w:br/>
        <w:t>• Secure all arbitration Communications through End-to-End Encryption;</w:t>
      </w:r>
      <w:r>
        <w:rPr>
          <w:rFonts w:asciiTheme="majorBidi" w:hAnsiTheme="majorBidi" w:cstheme="majorBidi"/>
        </w:rPr>
        <w:br/>
      </w:r>
      <w:r>
        <w:rPr>
          <w:rFonts w:asciiTheme="majorBidi" w:hAnsiTheme="majorBidi" w:cstheme="majorBidi"/>
        </w:rPr>
        <w:lastRenderedPageBreak/>
        <w:t>• Implement Multi-Factor Authentication (MFA) for Access Control;</w:t>
      </w:r>
      <w:r>
        <w:rPr>
          <w:rFonts w:asciiTheme="majorBidi" w:hAnsiTheme="majorBidi" w:cstheme="majorBidi"/>
        </w:rPr>
        <w:br/>
        <w:t>• Store arbitration records securely on Cloud-based Storage Systems;</w:t>
      </w:r>
      <w:r>
        <w:rPr>
          <w:rFonts w:asciiTheme="majorBidi" w:hAnsiTheme="majorBidi" w:cstheme="majorBidi"/>
        </w:rPr>
        <w:br/>
        <w:t>• Audit and Assess Cybersecurity Vulnerabilities Regularly.</w:t>
      </w:r>
    </w:p>
    <w:p w14:paraId="6BFB2FFC" w14:textId="77777777" w:rsidR="00F073C0" w:rsidRPr="008819FD" w:rsidRDefault="00792DB8" w:rsidP="009F5ACD">
      <w:pPr>
        <w:pStyle w:val="Heading3"/>
        <w:rPr>
          <w:rFonts w:asciiTheme="majorBidi" w:hAnsiTheme="majorBidi" w:cstheme="majorBidi"/>
        </w:rPr>
      </w:pPr>
      <w:bookmarkStart w:id="420" w:name="_Toc221804608"/>
      <w:r>
        <w:rPr>
          <w:rFonts w:asciiTheme="majorBidi" w:hAnsiTheme="majorBidi" w:cstheme="majorBidi"/>
        </w:rPr>
        <w:t>7.3.3 Strengthening the Role of UAE Centres in Enforcing Privacy Regulations</w:t>
      </w:r>
      <w:bookmarkEnd w:id="420"/>
    </w:p>
    <w:p w14:paraId="1E6CB51C" w14:textId="4A717BFF" w:rsidR="00F073C0" w:rsidRPr="008819FD" w:rsidRDefault="00F073C0" w:rsidP="001D247C">
      <w:pPr>
        <w:spacing w:line="480" w:lineRule="auto"/>
        <w:ind w:firstLine="720"/>
        <w:rPr>
          <w:rFonts w:asciiTheme="majorBidi" w:hAnsiTheme="majorBidi" w:cstheme="majorBidi"/>
        </w:rPr>
      </w:pPr>
      <w:bookmarkStart w:id="421" w:name="_Toc190813345"/>
      <w:bookmarkStart w:id="422" w:name="_Toc209627009"/>
      <w:bookmarkStart w:id="423" w:name="_Toc217491657"/>
      <w:r>
        <w:rPr>
          <w:rFonts w:asciiTheme="majorBidi" w:hAnsiTheme="majorBidi" w:cstheme="majorBidi"/>
        </w:rPr>
        <w:t xml:space="preserve">Major centres in the UAE—such as the Dubai International Arbitration Centre  (DIAC), </w:t>
      </w:r>
      <w:r w:rsidR="001D247C">
        <w:rPr>
          <w:rFonts w:asciiTheme="majorBidi" w:hAnsiTheme="majorBidi" w:cstheme="majorBidi"/>
        </w:rPr>
        <w:t>and the ADGM Dispute Resolution Hearing Centre</w:t>
      </w:r>
      <w:r>
        <w:rPr>
          <w:rFonts w:asciiTheme="majorBidi" w:hAnsiTheme="majorBidi" w:cstheme="majorBidi"/>
        </w:rPr>
        <w:t>should play a more proactive and structured role in enforcing privacy and cybersecurity compliance within arbitral proceedings, particularly those relying on digital platforms, electronic evidence, and virtual hearings. To enhance institutional accountability and regulatory alignment, arbitration institutions should:</w:t>
      </w:r>
    </w:p>
    <w:p w14:paraId="4B6CAFA3" w14:textId="77777777" w:rsidR="00F073C0" w:rsidRPr="008819FD" w:rsidRDefault="00F073C0" w:rsidP="00664877">
      <w:pPr>
        <w:numPr>
          <w:ilvl w:val="0"/>
          <w:numId w:val="34"/>
        </w:numPr>
        <w:spacing w:line="480" w:lineRule="auto"/>
        <w:ind w:firstLine="720"/>
        <w:rPr>
          <w:rFonts w:asciiTheme="majorBidi" w:hAnsiTheme="majorBidi" w:cstheme="majorBidi"/>
        </w:rPr>
      </w:pPr>
      <w:r>
        <w:rPr>
          <w:rFonts w:asciiTheme="majorBidi" w:hAnsiTheme="majorBidi" w:cstheme="majorBidi"/>
        </w:rPr>
        <w:t>Develop and implement internal cybersecurity and data governance policies specifically governing online and hybrid arbitration proceedings, including document storage, virtual hearings, and electronic communications.</w:t>
      </w:r>
    </w:p>
    <w:p w14:paraId="239AF076" w14:textId="77777777" w:rsidR="00F073C0" w:rsidRPr="008819FD" w:rsidRDefault="00F073C0" w:rsidP="00664877">
      <w:pPr>
        <w:numPr>
          <w:ilvl w:val="0"/>
          <w:numId w:val="34"/>
        </w:numPr>
        <w:spacing w:line="480" w:lineRule="auto"/>
        <w:ind w:firstLine="720"/>
        <w:rPr>
          <w:rFonts w:asciiTheme="majorBidi" w:hAnsiTheme="majorBidi" w:cstheme="majorBidi"/>
        </w:rPr>
      </w:pPr>
      <w:r>
        <w:rPr>
          <w:rFonts w:asciiTheme="majorBidi" w:hAnsiTheme="majorBidi" w:cstheme="majorBidi"/>
        </w:rPr>
        <w:t>Require parties, counsel, and tribunal members to sign enhanced confidentiality and data protection agreements tailored to digital arbitration, explicitly addressing cybersecurity risks and responsibilities.</w:t>
      </w:r>
    </w:p>
    <w:p w14:paraId="0A079618" w14:textId="77777777" w:rsidR="00F073C0" w:rsidRPr="008819FD" w:rsidRDefault="00F073C0" w:rsidP="00664877">
      <w:pPr>
        <w:numPr>
          <w:ilvl w:val="0"/>
          <w:numId w:val="34"/>
        </w:numPr>
        <w:spacing w:line="480" w:lineRule="auto"/>
        <w:ind w:firstLine="720"/>
        <w:rPr>
          <w:rFonts w:asciiTheme="majorBidi" w:hAnsiTheme="majorBidi" w:cstheme="majorBidi"/>
        </w:rPr>
      </w:pPr>
      <w:r>
        <w:rPr>
          <w:rFonts w:asciiTheme="majorBidi" w:hAnsiTheme="majorBidi" w:cstheme="majorBidi"/>
        </w:rPr>
        <w:t>Introduce enforceable sanctions or contractual liability clauses for data breaches resulting from negligence, non-compliance, or failure to adhere to institutional cybersecurity protocols.</w:t>
      </w:r>
    </w:p>
    <w:p w14:paraId="6015C52C" w14:textId="77777777" w:rsidR="00F073C0" w:rsidRPr="008819FD" w:rsidRDefault="00F073C0" w:rsidP="00664877">
      <w:pPr>
        <w:spacing w:line="480" w:lineRule="auto"/>
        <w:ind w:firstLine="720"/>
        <w:rPr>
          <w:rFonts w:asciiTheme="majorBidi" w:hAnsiTheme="majorBidi" w:cstheme="majorBidi"/>
        </w:rPr>
      </w:pPr>
      <w:r>
        <w:rPr>
          <w:rFonts w:asciiTheme="majorBidi" w:hAnsiTheme="majorBidi" w:cstheme="majorBidi"/>
        </w:rPr>
        <w:t>Integration of the UAE Cybersecurity Council Framework</w:t>
      </w:r>
    </w:p>
    <w:p w14:paraId="3E3A1A80" w14:textId="77777777" w:rsidR="00F073C0" w:rsidRPr="008819FD" w:rsidRDefault="00F073C0" w:rsidP="00664877">
      <w:pPr>
        <w:spacing w:line="480" w:lineRule="auto"/>
        <w:ind w:firstLine="720"/>
        <w:rPr>
          <w:rFonts w:asciiTheme="majorBidi" w:hAnsiTheme="majorBidi" w:cstheme="majorBidi"/>
        </w:rPr>
      </w:pPr>
      <w:r>
        <w:rPr>
          <w:rFonts w:asciiTheme="majorBidi" w:hAnsiTheme="majorBidi" w:cstheme="majorBidi"/>
        </w:rPr>
        <w:t xml:space="preserve">In addition to institutional reforms, these improvements are further reinforced by the legal authority conferred upon the UAE Cybersecurity Council under Federal Decree-Law No 12 of 2021, which designates the Council as the central national body responsible for </w:t>
      </w:r>
      <w:r>
        <w:rPr>
          <w:rFonts w:asciiTheme="majorBidi" w:hAnsiTheme="majorBidi" w:cstheme="majorBidi"/>
        </w:rPr>
        <w:lastRenderedPageBreak/>
        <w:t>regulating, coordinating, and supervising cybersecurity across the UAE. The Council has issued binding strategies, policies, and technical guidance relating to information security, threat detection, malware and virus identification, and the protection of critical and sensitive digital assets.</w:t>
      </w:r>
    </w:p>
    <w:p w14:paraId="56178175" w14:textId="77777777" w:rsidR="00F073C0" w:rsidRPr="008819FD" w:rsidRDefault="00F073C0" w:rsidP="00664877">
      <w:pPr>
        <w:spacing w:line="480" w:lineRule="auto"/>
        <w:ind w:firstLine="720"/>
        <w:rPr>
          <w:rFonts w:asciiTheme="majorBidi" w:hAnsiTheme="majorBidi" w:cstheme="majorBidi"/>
        </w:rPr>
      </w:pPr>
      <w:r>
        <w:rPr>
          <w:rFonts w:asciiTheme="majorBidi" w:hAnsiTheme="majorBidi" w:cstheme="majorBidi"/>
        </w:rPr>
        <w:t>It is proposed that centres operating within the UAE align their internal governance frameworks with the Council’s cybersecurity policies, particularly those relating to knowledge protection, risk identification, and incident response. This may include adopting structured mechanisms for assessing knowledge modification risks, data flow vulnerabilities, and system access controls within arbitration platforms. Such alignment would empower the national cybersecurity framework to monitor and guide compliance across arbitration institutions, either through designated supervisory coordination or, where appropriate, through the establishment of specialised or dedicated cybersecurity units supporting dispute resolution institutions.</w:t>
      </w:r>
    </w:p>
    <w:p w14:paraId="5ECE40FD" w14:textId="77777777" w:rsidR="00F073C0" w:rsidRPr="008819FD" w:rsidRDefault="00792DB8" w:rsidP="009F5ACD">
      <w:pPr>
        <w:pStyle w:val="Heading3"/>
        <w:rPr>
          <w:rFonts w:asciiTheme="majorBidi" w:hAnsiTheme="majorBidi" w:cstheme="majorBidi"/>
        </w:rPr>
      </w:pPr>
      <w:bookmarkStart w:id="424" w:name="_Toc221804609"/>
      <w:r>
        <w:rPr>
          <w:rFonts w:asciiTheme="majorBidi" w:hAnsiTheme="majorBidi" w:cstheme="majorBidi"/>
        </w:rPr>
        <w:t>7.3.4 Legal Recognition of Blockchain-Based Evidence Storage in Online Arbitration</w:t>
      </w:r>
      <w:bookmarkEnd w:id="421"/>
      <w:bookmarkEnd w:id="422"/>
      <w:bookmarkEnd w:id="423"/>
      <w:bookmarkEnd w:id="424"/>
    </w:p>
    <w:p w14:paraId="29A021CC" w14:textId="77777777" w:rsidR="00F073C0" w:rsidRPr="008819FD" w:rsidRDefault="00F073C0" w:rsidP="00664877">
      <w:pPr>
        <w:pStyle w:val="NormalWeb"/>
        <w:spacing w:line="480" w:lineRule="auto"/>
        <w:ind w:firstLine="720"/>
        <w:rPr>
          <w:rFonts w:asciiTheme="majorBidi" w:hAnsiTheme="majorBidi" w:cstheme="majorBidi"/>
        </w:rPr>
      </w:pPr>
      <w:bookmarkStart w:id="425" w:name="_Toc190813346"/>
      <w:bookmarkStart w:id="426" w:name="_Toc209627010"/>
      <w:bookmarkStart w:id="427" w:name="_Toc217491658"/>
      <w:r>
        <w:rPr>
          <w:rFonts w:asciiTheme="majorBidi" w:hAnsiTheme="majorBidi" w:cstheme="majorBidi"/>
        </w:rPr>
        <w:t>Blockchain will allow for a "tamper-free" environment to store arbitration related documents (as well as time stamped) and the UAE Courts should formally accept these blockchain stored records as valid in an arbitration proceeding. The use of blockchain allows for only authorized parties to view and/or alter documentation; therefore, all arbitration related documents are secure from alteration/tampering and can be considered by UAE Courts when presented in an arbitration proceeding.</w:t>
      </w:r>
    </w:p>
    <w:p w14:paraId="7F3D5A8F" w14:textId="77777777" w:rsidR="00F073C0" w:rsidRPr="008819FD" w:rsidRDefault="00792DB8" w:rsidP="009F5ACD">
      <w:pPr>
        <w:pStyle w:val="Heading3"/>
        <w:rPr>
          <w:rFonts w:asciiTheme="majorBidi" w:hAnsiTheme="majorBidi" w:cstheme="majorBidi"/>
        </w:rPr>
      </w:pPr>
      <w:bookmarkStart w:id="428" w:name="_Toc221804610"/>
      <w:r>
        <w:rPr>
          <w:rFonts w:asciiTheme="majorBidi" w:hAnsiTheme="majorBidi" w:cstheme="majorBidi"/>
        </w:rPr>
        <w:lastRenderedPageBreak/>
        <w:t>7.3.5 Development of Privacy Regulations for AI-Driven Arbitration</w:t>
      </w:r>
      <w:bookmarkEnd w:id="425"/>
      <w:bookmarkEnd w:id="426"/>
      <w:bookmarkEnd w:id="427"/>
      <w:bookmarkEnd w:id="428"/>
    </w:p>
    <w:p w14:paraId="6FC81CC7" w14:textId="77777777" w:rsidR="00F073C0" w:rsidRPr="008819FD" w:rsidRDefault="00F073C0" w:rsidP="00664877">
      <w:pPr>
        <w:pStyle w:val="NormalWeb"/>
        <w:spacing w:line="480" w:lineRule="auto"/>
        <w:ind w:firstLine="720"/>
        <w:rPr>
          <w:rFonts w:asciiTheme="majorBidi" w:hAnsiTheme="majorBidi" w:cstheme="majorBidi"/>
        </w:rPr>
      </w:pPr>
      <w:bookmarkStart w:id="429" w:name="_Toc190813347"/>
      <w:bookmarkStart w:id="430" w:name="_Toc209627011"/>
      <w:bookmarkStart w:id="431" w:name="_Toc217491659"/>
      <w:r>
        <w:rPr>
          <w:rFonts w:asciiTheme="majorBidi" w:hAnsiTheme="majorBidi" w:cstheme="majorBidi"/>
        </w:rPr>
        <w:t>The use of Artificial Intelligence (AI), as it becomes an increasingly common element of Arbitration will create new concerns regarding Data Privacy; Transparency; and Bias within algorithms. The UAE's Arbitration Laws should provide clear guidance to both the use and regulation of AI driven Arbitration Tools, specifically with respect to:</w:t>
      </w:r>
      <w:r>
        <w:rPr>
          <w:rFonts w:asciiTheme="majorBidi" w:hAnsiTheme="majorBidi" w:cstheme="majorBidi"/>
        </w:rPr>
        <w:br/>
        <w:t>• Requirements for Transparency of AI generated Decisions.</w:t>
      </w:r>
      <w:r>
        <w:rPr>
          <w:rFonts w:asciiTheme="majorBidi" w:hAnsiTheme="majorBidi" w:cstheme="majorBidi"/>
        </w:rPr>
        <w:br/>
        <w:t>• Requirements that prevent Unauthorised Collection of Data by AI Arbitration Platforms.</w:t>
      </w:r>
      <w:r>
        <w:rPr>
          <w:rFonts w:asciiTheme="majorBidi" w:hAnsiTheme="majorBidi" w:cstheme="majorBidi"/>
        </w:rPr>
        <w:br/>
        <w:t>• The Creation of Ethical AI Frameworks that protect individuals' Privacy and do not discriminate.</w:t>
      </w:r>
    </w:p>
    <w:p w14:paraId="6B04EFCF" w14:textId="77777777" w:rsidR="00F073C0" w:rsidRPr="008819FD" w:rsidRDefault="00792DB8" w:rsidP="009F5ACD">
      <w:pPr>
        <w:pStyle w:val="Heading3"/>
        <w:rPr>
          <w:rFonts w:asciiTheme="majorBidi" w:hAnsiTheme="majorBidi" w:cstheme="majorBidi"/>
        </w:rPr>
      </w:pPr>
      <w:bookmarkStart w:id="432" w:name="_Toc221804611"/>
      <w:r>
        <w:rPr>
          <w:rFonts w:asciiTheme="majorBidi" w:hAnsiTheme="majorBidi" w:cstheme="majorBidi"/>
        </w:rPr>
        <w:t>7.3.6 Cross-Border Data Protection and Enforcement Mechanisms</w:t>
      </w:r>
      <w:bookmarkEnd w:id="429"/>
      <w:bookmarkEnd w:id="430"/>
      <w:bookmarkEnd w:id="431"/>
      <w:bookmarkEnd w:id="432"/>
    </w:p>
    <w:p w14:paraId="3770B93B" w14:textId="7BBD85F5" w:rsidR="00F073C0" w:rsidRPr="008819FD" w:rsidRDefault="00F073C0" w:rsidP="001D247C">
      <w:pPr>
        <w:pStyle w:val="NormalWeb"/>
        <w:spacing w:line="480" w:lineRule="auto"/>
        <w:ind w:firstLine="720"/>
        <w:rPr>
          <w:rFonts w:asciiTheme="majorBidi" w:hAnsiTheme="majorBidi" w:cstheme="majorBidi"/>
        </w:rPr>
      </w:pPr>
      <w:bookmarkStart w:id="433" w:name="_Toc190813348"/>
      <w:bookmarkStart w:id="434" w:name="_Toc209627012"/>
      <w:bookmarkStart w:id="435" w:name="_Toc217491660"/>
      <w:r>
        <w:rPr>
          <w:rFonts w:asciiTheme="majorBidi" w:hAnsiTheme="majorBidi" w:cstheme="majorBidi"/>
        </w:rPr>
        <w:t>As most arbitration cases are conducted by or among international parties in the United Arab Emirates (UAE), it is necessary for the UAE to implement uniformed Data Protection Standards for all arbitration across jurisdictions. Therefore, the UAE shall:</w:t>
      </w:r>
      <w:r>
        <w:rPr>
          <w:rFonts w:asciiTheme="majorBidi" w:hAnsiTheme="majorBidi" w:cstheme="majorBidi"/>
        </w:rPr>
        <w:br/>
      </w:r>
      <w:r w:rsidR="001D247C" w:rsidRPr="001D247C">
        <w:rPr>
          <w:rFonts w:asciiTheme="majorBidi" w:hAnsiTheme="majorBidi" w:cstheme="majorBidi"/>
        </w:rPr>
        <w:t xml:space="preserve"> </w:t>
      </w:r>
      <w:r w:rsidR="001D247C">
        <w:rPr>
          <w:rFonts w:asciiTheme="majorBidi" w:hAnsiTheme="majorBidi" w:cstheme="majorBidi"/>
        </w:rPr>
        <w:t>• At the inter-State level, pursue the mutual recognition of privacy and confidentiality protections through the existing framework of the New York Convention and through bilateral judicial-cooperation treaties concluded with other States, while making use of the cross-border data-transfer and adequacy mechanisms provided for under the Personal Data Protection Law (Federal Decree-Law No. 45 of 2021).</w:t>
      </w:r>
      <w:r w:rsidR="001D247C">
        <w:rPr>
          <w:rFonts w:asciiTheme="majorBidi" w:hAnsiTheme="majorBidi" w:cstheme="majorBidi"/>
        </w:rPr>
        <w:br/>
        <w:t>• At the institutional level, encourage UAE arbitration centres to conclude memoranda of understanding with foreign arbitral institutions and to adopt harmonised model rules, thereby aligning privacy and confidentiality standards across institutions. These institutional arrangements complement, but cannot substitute for, cooperation at the level of the State.</w:t>
      </w:r>
      <w:r>
        <w:rPr>
          <w:rFonts w:asciiTheme="majorBidi" w:hAnsiTheme="majorBidi" w:cstheme="majorBidi"/>
        </w:rPr>
        <w:br/>
        <w:t xml:space="preserve">• Promulgate Data Localisation Regulations governing all arbitration related documents to </w:t>
      </w:r>
      <w:r>
        <w:rPr>
          <w:rFonts w:asciiTheme="majorBidi" w:hAnsiTheme="majorBidi" w:cstheme="majorBidi"/>
        </w:rPr>
        <w:lastRenderedPageBreak/>
        <w:t>prohibit Unauthorised Cross-Border Data Transfers.</w:t>
      </w:r>
      <w:r>
        <w:rPr>
          <w:rFonts w:asciiTheme="majorBidi" w:hAnsiTheme="majorBidi" w:cstheme="majorBidi"/>
        </w:rPr>
        <w:br/>
        <w:t>• Enact a Legal Framework to provide for the Security of Cloud Arbitration, including ensuring that all Case Files stored on Servers located outside of the UAE remain subject to UAE Privacy Laws.</w:t>
      </w:r>
    </w:p>
    <w:p w14:paraId="7A7EEEF6" w14:textId="77777777" w:rsidR="00F073C0" w:rsidRPr="008819FD" w:rsidRDefault="00792DB8" w:rsidP="009F5ACD">
      <w:pPr>
        <w:pStyle w:val="Heading3"/>
        <w:rPr>
          <w:rFonts w:asciiTheme="majorBidi" w:hAnsiTheme="majorBidi" w:cstheme="majorBidi"/>
        </w:rPr>
      </w:pPr>
      <w:bookmarkStart w:id="436" w:name="_Toc221804612"/>
      <w:r>
        <w:rPr>
          <w:rFonts w:asciiTheme="majorBidi" w:hAnsiTheme="majorBidi" w:cstheme="majorBidi"/>
        </w:rPr>
        <w:t>7.3.7 Creation of a National Regulatory Body for Online Arbitration Privacy Compliance</w:t>
      </w:r>
      <w:bookmarkEnd w:id="433"/>
      <w:bookmarkEnd w:id="434"/>
      <w:bookmarkEnd w:id="435"/>
      <w:bookmarkEnd w:id="436"/>
    </w:p>
    <w:p w14:paraId="72A24E19" w14:textId="77777777" w:rsidR="00F073C0" w:rsidRPr="008819FD" w:rsidRDefault="00F073C0" w:rsidP="00664877">
      <w:pPr>
        <w:pStyle w:val="NormalWeb"/>
        <w:spacing w:line="480" w:lineRule="auto"/>
        <w:ind w:firstLine="720"/>
        <w:rPr>
          <w:rFonts w:asciiTheme="majorBidi" w:hAnsiTheme="majorBidi" w:cstheme="majorBidi"/>
        </w:rPr>
      </w:pPr>
      <w:bookmarkStart w:id="437" w:name="_Toc169116991"/>
      <w:bookmarkStart w:id="438" w:name="_Toc190813349"/>
      <w:bookmarkStart w:id="439" w:name="_Toc209627013"/>
      <w:bookmarkStart w:id="440" w:name="_Toc217491661"/>
      <w:r>
        <w:rPr>
          <w:rFonts w:asciiTheme="majorBidi" w:hAnsiTheme="majorBidi" w:cstheme="majorBidi"/>
        </w:rPr>
        <w:t>To ensure that the UAE has effective regulation of online arbitration privacy protection through monitoring, enforcing best practices, and development of best practices, the UAE could create a national regulatory body to oversee arbitration on-line privacy by providing;</w:t>
      </w:r>
      <w:r>
        <w:rPr>
          <w:rFonts w:asciiTheme="majorBidi" w:hAnsiTheme="majorBidi" w:cstheme="majorBidi"/>
        </w:rPr>
        <w:br/>
        <w:t xml:space="preserve">• Certification of all online arbitration platforms that have demonstrated adherence to required levels of data security; </w:t>
      </w:r>
      <w:r>
        <w:rPr>
          <w:rFonts w:asciiTheme="majorBidi" w:hAnsiTheme="majorBidi" w:cstheme="majorBidi"/>
        </w:rPr>
        <w:br/>
        <w:t xml:space="preserve">• A process for investigating complaint and breach incidents related to digital arbitration; </w:t>
      </w:r>
      <w:r>
        <w:rPr>
          <w:rFonts w:asciiTheme="majorBidi" w:hAnsiTheme="majorBidi" w:cstheme="majorBidi"/>
        </w:rPr>
        <w:br/>
        <w:t>• Guidelines for arbitrators and arbitration institutions regarding privacy;</w:t>
      </w:r>
    </w:p>
    <w:p w14:paraId="579B034D" w14:textId="77777777" w:rsidR="00F073C0" w:rsidRPr="008819FD" w:rsidRDefault="00F073C0" w:rsidP="00663759">
      <w:pPr>
        <w:pStyle w:val="Heading2"/>
        <w:rPr>
          <w:rFonts w:asciiTheme="majorBidi" w:hAnsiTheme="majorBidi" w:cstheme="majorBidi"/>
          <w:sz w:val="24"/>
          <w:szCs w:val="24"/>
        </w:rPr>
      </w:pPr>
      <w:bookmarkStart w:id="441" w:name="_Toc221804613"/>
      <w:r>
        <w:rPr>
          <w:rFonts w:asciiTheme="majorBidi" w:hAnsiTheme="majorBidi" w:cstheme="majorBidi"/>
          <w:sz w:val="24"/>
          <w:szCs w:val="24"/>
        </w:rPr>
        <w:t>Contribution</w:t>
      </w:r>
      <w:bookmarkEnd w:id="437"/>
      <w:bookmarkEnd w:id="438"/>
      <w:bookmarkEnd w:id="439"/>
      <w:bookmarkEnd w:id="440"/>
      <w:bookmarkEnd w:id="441"/>
    </w:p>
    <w:p w14:paraId="70DA824D" w14:textId="77777777" w:rsidR="00F073C0" w:rsidRPr="008819FD" w:rsidRDefault="00F073C0" w:rsidP="00664877">
      <w:pPr>
        <w:pStyle w:val="NormalWeb"/>
        <w:spacing w:line="480" w:lineRule="auto"/>
        <w:ind w:firstLine="720"/>
        <w:rPr>
          <w:rFonts w:asciiTheme="majorBidi" w:hAnsiTheme="majorBidi" w:cstheme="majorBidi"/>
        </w:rPr>
      </w:pPr>
      <w:bookmarkStart w:id="442" w:name="_Toc190813350"/>
      <w:bookmarkStart w:id="443" w:name="_Toc209627014"/>
      <w:bookmarkStart w:id="444" w:name="_Toc217491662"/>
      <w:r>
        <w:rPr>
          <w:rFonts w:asciiTheme="majorBidi" w:hAnsiTheme="majorBidi" w:cstheme="majorBidi"/>
        </w:rPr>
        <w:t xml:space="preserve">This research study examined the area of Online Dispute Resolution (ODR), and its possible use in the United Arab Emirates (UAE). The study's aim was to provide additional input to the discussion regarding the strengths and weaknesses of arbitration. The primary contribution of this study is through a comprehensive review of the theoretical foundations and empirically based studies of ODR. The study's contributions examine various arguments for and against ODR to support the extensive body of literature on the increasing use of technology for resolving disputes via online methods. The study has found considerable cost advantages and possibly the opportunity to create a future environment where the study </w:t>
      </w:r>
      <w:r>
        <w:rPr>
          <w:rFonts w:asciiTheme="majorBidi" w:hAnsiTheme="majorBidi" w:cstheme="majorBidi"/>
        </w:rPr>
        <w:lastRenderedPageBreak/>
        <w:t>acknowledges empirical concerns of data security, and the possibility of creating a legal framework that can affect the course of a virtual hearing. The study's contributions are toward deciding about the valuable determinations made regarding the foundation of ODR that will be important in contributing to the study of the context of the UAE. The focus of the study was the UAE legal framework and the cultural aspect of the UAE that will allow for a comprehensive and practical assessment of the research. The research indicated the values of considering the existing UAE arbitration laws for accommodating both online procedures and responsibilities.</w:t>
      </w:r>
    </w:p>
    <w:p w14:paraId="09C5C24E" w14:textId="77777777" w:rsidR="00F073C0" w:rsidRPr="008819FD" w:rsidRDefault="00F073C0" w:rsidP="00664877">
      <w:pPr>
        <w:pStyle w:val="NormalWeb"/>
        <w:spacing w:line="480" w:lineRule="auto"/>
        <w:ind w:firstLine="720"/>
        <w:rPr>
          <w:rFonts w:asciiTheme="majorBidi" w:hAnsiTheme="majorBidi" w:cstheme="majorBidi"/>
        </w:rPr>
      </w:pPr>
      <w:r>
        <w:rPr>
          <w:rFonts w:asciiTheme="majorBidi" w:hAnsiTheme="majorBidi" w:cstheme="majorBidi"/>
        </w:rPr>
        <w:t>The contributions of this study extend beyond the theoretically and survey-based explorations. The valuable identification of the study provides considerable information and value bridges between the theoretical study of the opportunities and challenges of ODR in the UAE, and the practical implementation. The study provided a measurable format for the constant of data storage, and provided the stakeholders (arbitration institutions and legal professionals) with specific actions they could consider for implementing ODR in the UAE. The study admitted the limitations of the existing research and emphasised the need for continued research. The practice includes the empirical studies of users' experiences with ODR platforms, the empirical studies of case outcomes in online arbitration minutes, and comparative studies with other jurisdictions that used similar frameworks.</w:t>
      </w:r>
    </w:p>
    <w:p w14:paraId="02BBE768" w14:textId="77777777" w:rsidR="00F073C0" w:rsidRPr="008819FD" w:rsidRDefault="00F073C0" w:rsidP="00663759">
      <w:pPr>
        <w:pStyle w:val="Heading2"/>
        <w:rPr>
          <w:rFonts w:asciiTheme="majorBidi" w:hAnsiTheme="majorBidi" w:cstheme="majorBidi"/>
          <w:sz w:val="24"/>
          <w:szCs w:val="24"/>
        </w:rPr>
      </w:pPr>
      <w:bookmarkStart w:id="445" w:name="_Toc221804614"/>
      <w:r>
        <w:rPr>
          <w:rFonts w:asciiTheme="majorBidi" w:hAnsiTheme="majorBidi" w:cstheme="majorBidi"/>
          <w:sz w:val="24"/>
          <w:szCs w:val="24"/>
        </w:rPr>
        <w:t>Linking with objectives</w:t>
      </w:r>
      <w:bookmarkEnd w:id="442"/>
      <w:bookmarkEnd w:id="443"/>
      <w:bookmarkEnd w:id="444"/>
      <w:bookmarkEnd w:id="445"/>
      <w:r>
        <w:rPr>
          <w:rFonts w:asciiTheme="majorBidi" w:hAnsiTheme="majorBidi" w:cstheme="majorBidi"/>
          <w:sz w:val="24"/>
          <w:szCs w:val="24"/>
        </w:rPr>
        <w:t xml:space="preserve"> </w:t>
      </w:r>
    </w:p>
    <w:p w14:paraId="7DA935AD" w14:textId="77777777" w:rsidR="00F073C0" w:rsidRPr="008819FD" w:rsidRDefault="00F073C0" w:rsidP="00664877">
      <w:pPr>
        <w:shd w:val="clear" w:color="auto" w:fill="FFFFFF"/>
        <w:spacing w:line="480" w:lineRule="auto"/>
        <w:ind w:firstLine="720"/>
        <w:rPr>
          <w:rFonts w:asciiTheme="majorBidi" w:eastAsia="Calibri" w:hAnsiTheme="majorBidi" w:cstheme="majorBidi"/>
          <w:b/>
          <w:bCs/>
          <w:i/>
          <w:iCs/>
          <w:color w:val="000000"/>
        </w:rPr>
      </w:pPr>
      <w:r>
        <w:rPr>
          <w:rFonts w:asciiTheme="majorBidi" w:eastAsia="Calibri" w:hAnsiTheme="majorBidi" w:cstheme="majorBidi"/>
          <w:b/>
          <w:bCs/>
          <w:i/>
          <w:iCs/>
          <w:color w:val="000000"/>
        </w:rPr>
        <w:t>“To identify the applicability and relevance of the online arbitration regulatory systems and technologies in the UAE and determine their effectiveness.”</w:t>
      </w:r>
    </w:p>
    <w:p w14:paraId="5F7D3731"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lastRenderedPageBreak/>
        <w:t>The Research Paper relates the research objective to the research question to determine whether the technology utilised in the Online Arbitration Regulatory System is applicable and relevant to the UAE. In essence, the system assesses the applicability and relevance of existing online arbitration regulations and associated technologies as they relate to the UAE, i.e., the research questions are investigating how the current online arbitration regulations and related technologies may be applied in a UAE context. Several key elements were identified in the research objective which correspond with the existing UAE arbitration laws and the cultural aspects with the infrastructure development. The research paper connects the applicability with relevancy so that it can ensure successful implementation of online arbitration within the UAE. Additionally, the research paper will explore both potential positive (e.g., cost savings, improved efficiency) and negative (e.g., data security, etc.) impacts of the online arbitration process and confirm the effectiveness of the virtual hearing process. The research will also provide an assessment of the market conditions and the feasibility of determining the use of an online platform for the e-arbitration regulatory system in the UAE. Finally, the research paper will provide an assessment of the market conditions and values that will measure the business growth and support of the business through online media.</w:t>
      </w:r>
    </w:p>
    <w:p w14:paraId="61BB419E" w14:textId="77777777" w:rsidR="00F073C0" w:rsidRPr="008819FD" w:rsidRDefault="00F073C0" w:rsidP="00664877">
      <w:pPr>
        <w:shd w:val="clear" w:color="auto" w:fill="FFFFFF"/>
        <w:spacing w:line="480" w:lineRule="auto"/>
        <w:ind w:firstLine="720"/>
        <w:rPr>
          <w:rFonts w:asciiTheme="majorBidi" w:eastAsia="Calibri" w:hAnsiTheme="majorBidi" w:cstheme="majorBidi"/>
          <w:b/>
          <w:bCs/>
          <w:i/>
          <w:iCs/>
          <w:color w:val="000000"/>
        </w:rPr>
      </w:pPr>
      <w:r>
        <w:rPr>
          <w:rFonts w:asciiTheme="majorBidi" w:eastAsia="Calibri" w:hAnsiTheme="majorBidi" w:cstheme="majorBidi"/>
          <w:b/>
          <w:bCs/>
          <w:i/>
          <w:iCs/>
          <w:color w:val="000000"/>
        </w:rPr>
        <w:t>To identify the best strategies and regulatory aspects of using technology to protect the confidential information of the parties to a dispute.</w:t>
      </w:r>
    </w:p>
    <w:p w14:paraId="67D13D09"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This objective will be achieved through an assessment of the technological and regulatory measures currently used to safeguard confidentiality and personal data in online arbitration in the UAE. The analysis evaluates the effectiveness of existing protections, including encryption, secure communication channels, access-control mechanisms, and authentication tools such as multi-factor authentication. It also examines the extent to which </w:t>
      </w:r>
      <w:r>
        <w:rPr>
          <w:rFonts w:asciiTheme="majorBidi" w:eastAsia="Calibri" w:hAnsiTheme="majorBidi" w:cstheme="majorBidi"/>
          <w:color w:val="000000"/>
        </w:rPr>
        <w:lastRenderedPageBreak/>
        <w:t>UAE legislation and institutional rules provide adequate guidance on cybersecurity responsibilities, data handling, and confidentiality obligations in online arbitral proceedings. The outcome of this assessment is to identify practical gaps and areas requiring regulatory clarification or improvement.</w:t>
      </w:r>
    </w:p>
    <w:p w14:paraId="611F7F06" w14:textId="77777777" w:rsidR="00F652FE" w:rsidRPr="008819FD" w:rsidRDefault="00F652FE" w:rsidP="00664877">
      <w:pPr>
        <w:shd w:val="clear" w:color="auto" w:fill="FFFFFF"/>
        <w:spacing w:line="480" w:lineRule="auto"/>
        <w:ind w:firstLine="720"/>
        <w:rPr>
          <w:rFonts w:asciiTheme="majorBidi" w:eastAsia="Calibri" w:hAnsiTheme="majorBidi" w:cstheme="majorBidi"/>
          <w:color w:val="000000"/>
        </w:rPr>
      </w:pPr>
    </w:p>
    <w:p w14:paraId="1058F395" w14:textId="77777777" w:rsidR="00F073C0" w:rsidRPr="008819FD" w:rsidRDefault="00F073C0" w:rsidP="00664877">
      <w:pPr>
        <w:shd w:val="clear" w:color="auto" w:fill="FFFFFF"/>
        <w:spacing w:line="480" w:lineRule="auto"/>
        <w:ind w:firstLine="720"/>
        <w:rPr>
          <w:rFonts w:asciiTheme="majorBidi" w:eastAsia="Calibri" w:hAnsiTheme="majorBidi" w:cstheme="majorBidi"/>
          <w:b/>
          <w:bCs/>
          <w:i/>
          <w:iCs/>
          <w:color w:val="000000"/>
        </w:rPr>
      </w:pPr>
      <w:r>
        <w:rPr>
          <w:rFonts w:asciiTheme="majorBidi" w:eastAsia="Calibri" w:hAnsiTheme="majorBidi" w:cstheme="majorBidi"/>
          <w:b/>
          <w:bCs/>
          <w:i/>
          <w:iCs/>
          <w:color w:val="000000"/>
        </w:rPr>
        <w:t>To propose guidelines on how to enhance the regulatory framework for confidentiality and data protection in online arbitration in the UAE.</w:t>
      </w:r>
    </w:p>
    <w:p w14:paraId="3F854BE8"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Building on the findings of the assessment, this objective proposes practical guidelines to enhance the UAE regulatory framework for confidentiality and data protection in online arbitration. The guidelines recommend minimum cybersecurity standards for arbitral institutions and service providers, including mandatory encryption, secure evidence storage, defined access privileges, and incident-response procedures in the event of data breaches. They also emphasize the adoption of data-minimization principles, requiring ODR providers to collect and retain only the information necessary for dispute resolution. These recommendations aim to strengthen legal certainty, improve institutional consistency, and enhance party confidence in online arbitration processes within the UAE.</w:t>
      </w:r>
    </w:p>
    <w:p w14:paraId="77BDE6A2" w14:textId="77777777" w:rsidR="00F073C0" w:rsidRPr="008819FD" w:rsidRDefault="00F073C0" w:rsidP="00663759">
      <w:pPr>
        <w:pStyle w:val="Heading2"/>
        <w:rPr>
          <w:rFonts w:asciiTheme="majorBidi" w:hAnsiTheme="majorBidi" w:cstheme="majorBidi"/>
          <w:sz w:val="24"/>
          <w:szCs w:val="24"/>
        </w:rPr>
      </w:pPr>
      <w:bookmarkStart w:id="446" w:name="_Toc169116993"/>
      <w:bookmarkStart w:id="447" w:name="_Toc190813351"/>
      <w:bookmarkStart w:id="448" w:name="_Toc209627015"/>
      <w:bookmarkStart w:id="449" w:name="_Toc217491663"/>
      <w:bookmarkStart w:id="450" w:name="_Toc221804615"/>
      <w:r>
        <w:rPr>
          <w:rFonts w:asciiTheme="majorBidi" w:hAnsiTheme="majorBidi" w:cstheme="majorBidi"/>
          <w:sz w:val="24"/>
          <w:szCs w:val="24"/>
        </w:rPr>
        <w:t>Limitation</w:t>
      </w:r>
      <w:bookmarkEnd w:id="446"/>
      <w:bookmarkEnd w:id="447"/>
      <w:bookmarkEnd w:id="448"/>
      <w:bookmarkEnd w:id="449"/>
      <w:bookmarkEnd w:id="450"/>
    </w:p>
    <w:p w14:paraId="4B45CF82"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 xml:space="preserve">The first limitation of the study was the assessment of how effective an on-line dispute resolution process would be at increasing a regional judiciary's justice delivery with the creation of insights specific to a single country, the United Arab Emirates. As a result, the findings are limited in their reliability and generalizability; as the requirements and processes of justice vary greatly by region, therefore varying in each nation for all interested parties, the </w:t>
      </w:r>
      <w:r>
        <w:rPr>
          <w:rFonts w:asciiTheme="majorBidi" w:eastAsia="Calibri" w:hAnsiTheme="majorBidi" w:cstheme="majorBidi"/>
          <w:color w:val="000000"/>
        </w:rPr>
        <w:lastRenderedPageBreak/>
        <w:t>feasibility of establishing whether an on-line dispute resolution process is effective in enhancing a nation's ability to deliver justice to its citizens cannot be generalized across nations. This is because there were no data available from other than the U.A.E., while validating assumptions and developing solutions.</w:t>
      </w:r>
    </w:p>
    <w:p w14:paraId="50369567" w14:textId="77777777" w:rsidR="00F073C0" w:rsidRPr="008819FD" w:rsidRDefault="00F073C0" w:rsidP="00663759">
      <w:pPr>
        <w:pStyle w:val="Heading2"/>
        <w:rPr>
          <w:rFonts w:asciiTheme="majorBidi" w:hAnsiTheme="majorBidi" w:cstheme="majorBidi"/>
          <w:sz w:val="24"/>
          <w:szCs w:val="24"/>
        </w:rPr>
      </w:pPr>
      <w:bookmarkStart w:id="451" w:name="_Toc169116994"/>
      <w:bookmarkStart w:id="452" w:name="_Toc190813352"/>
      <w:bookmarkStart w:id="453" w:name="_Toc209627016"/>
      <w:bookmarkStart w:id="454" w:name="_Toc217491664"/>
      <w:bookmarkStart w:id="455" w:name="_Toc221804616"/>
      <w:r>
        <w:rPr>
          <w:rFonts w:asciiTheme="majorBidi" w:hAnsiTheme="majorBidi" w:cstheme="majorBidi"/>
          <w:sz w:val="24"/>
          <w:szCs w:val="24"/>
        </w:rPr>
        <w:t>Scope of Future Research</w:t>
      </w:r>
      <w:bookmarkEnd w:id="451"/>
      <w:bookmarkEnd w:id="452"/>
      <w:bookmarkEnd w:id="453"/>
      <w:bookmarkEnd w:id="454"/>
      <w:bookmarkEnd w:id="455"/>
      <w:r>
        <w:rPr>
          <w:rFonts w:asciiTheme="majorBidi" w:hAnsiTheme="majorBidi" w:cstheme="majorBidi"/>
          <w:sz w:val="24"/>
          <w:szCs w:val="24"/>
        </w:rPr>
        <w:t xml:space="preserve"> </w:t>
      </w:r>
    </w:p>
    <w:p w14:paraId="590E6ED4" w14:textId="77777777" w:rsidR="00F073C0" w:rsidRPr="008819FD" w:rsidRDefault="00F073C0" w:rsidP="00664877">
      <w:pPr>
        <w:shd w:val="clear" w:color="auto" w:fill="FFFFFF"/>
        <w:spacing w:line="480" w:lineRule="auto"/>
        <w:ind w:firstLine="720"/>
        <w:rPr>
          <w:rFonts w:asciiTheme="majorBidi" w:eastAsia="Calibri" w:hAnsiTheme="majorBidi" w:cstheme="majorBidi"/>
          <w:color w:val="000000"/>
        </w:rPr>
      </w:pPr>
      <w:r>
        <w:rPr>
          <w:rFonts w:asciiTheme="majorBidi" w:eastAsia="Calibri" w:hAnsiTheme="majorBidi" w:cstheme="majorBidi"/>
          <w:color w:val="000000"/>
        </w:rPr>
        <w:t>The potential of further study is large enough as to determine the scope of the future work based on this study's effective review of the regulatory aspects of online dispute resolution (ODR), in the UAE. The area of study offers a lot of room for further investigation, by way of examining the user experience with ODR systems in the UAE; there are potentially significant implications for the users. The studies could include surveys and/or interviews to assess the user's perception of data security, ease of use, and the overall satisfaction of the online arbitration process. Similarly, studies of the comparative cost of ODR versus traditional arbitration methods in the UAE will provide valuable insight regarding its potential cost effectiveness. In addition, a study of how the courts in the UAE address evidence received via an online arbitration proceeding will be beneficial to consider potential legal issues and areas where the law may need to be harmonised to define the value.</w:t>
      </w:r>
    </w:p>
    <w:p w14:paraId="19BE8FC3" w14:textId="77777777" w:rsidR="00F073C0" w:rsidRPr="008819FD" w:rsidRDefault="00F073C0" w:rsidP="00663759">
      <w:pPr>
        <w:pStyle w:val="Heading2"/>
        <w:rPr>
          <w:rFonts w:asciiTheme="majorBidi" w:hAnsiTheme="majorBidi" w:cstheme="majorBidi"/>
          <w:sz w:val="24"/>
          <w:szCs w:val="24"/>
          <w:lang w:bidi="en-US"/>
        </w:rPr>
      </w:pPr>
      <w:bookmarkStart w:id="456" w:name="_Toc190813353"/>
      <w:bookmarkStart w:id="457" w:name="_Toc209627017"/>
      <w:bookmarkStart w:id="458" w:name="_Toc217491665"/>
      <w:bookmarkStart w:id="459" w:name="_Toc221804617"/>
      <w:r>
        <w:rPr>
          <w:rFonts w:asciiTheme="majorBidi" w:hAnsiTheme="majorBidi" w:cstheme="majorBidi"/>
          <w:sz w:val="24"/>
          <w:szCs w:val="24"/>
          <w:lang w:bidi="en-US"/>
        </w:rPr>
        <w:t>Calculation</w:t>
      </w:r>
      <w:bookmarkEnd w:id="456"/>
      <w:bookmarkEnd w:id="457"/>
      <w:bookmarkEnd w:id="458"/>
      <w:bookmarkEnd w:id="459"/>
      <w:r>
        <w:rPr>
          <w:rFonts w:asciiTheme="majorBidi" w:hAnsiTheme="majorBidi" w:cstheme="majorBidi"/>
          <w:sz w:val="24"/>
          <w:szCs w:val="24"/>
          <w:lang w:bidi="en-US"/>
        </w:rPr>
        <w:t xml:space="preserve"> </w:t>
      </w:r>
    </w:p>
    <w:p w14:paraId="3E9DF006" w14:textId="77777777" w:rsidR="00F073C0" w:rsidRPr="008819FD" w:rsidRDefault="00F073C0" w:rsidP="00AE139B">
      <w:pPr>
        <w:pStyle w:val="NormalWeb"/>
        <w:spacing w:line="480" w:lineRule="auto"/>
        <w:ind w:firstLine="720"/>
        <w:rPr>
          <w:rFonts w:asciiTheme="majorBidi" w:hAnsiTheme="majorBidi" w:cstheme="majorBidi"/>
        </w:rPr>
      </w:pPr>
      <w:r>
        <w:rPr>
          <w:rFonts w:asciiTheme="majorBidi" w:hAnsiTheme="majorBidi" w:cstheme="majorBidi"/>
        </w:rPr>
        <w:t xml:space="preserve">The results show that e-commerce has been transformed into an indicator for global development; and that the use and success of the internet world-wide is an important factor for globalization and gives a possibility for understanding the situation that describes the benefits and advantages that can result from changing laws to benefit companies. The possibilities for understanding provide a user-friendly method for addressing the problem of a dispute </w:t>
      </w:r>
      <w:r>
        <w:rPr>
          <w:rFonts w:asciiTheme="majorBidi" w:hAnsiTheme="majorBidi" w:cstheme="majorBidi"/>
        </w:rPr>
        <w:lastRenderedPageBreak/>
        <w:t>resolution system as well as using dispute resolution systems such as arbitration systems. The United Arab Emirates (UAE) government has supported and encouraged arbitral centres and judicial bodies to have a way to measure and ensure that all arbitration procedures are followed, and this means that the law provisions must be modified to consider the possible knowledge of on-line arbitration. The paper found that confidentiality of data was an issue concerning data security; therefore, the main goal of the paper is to examine the feasibility and relevance of a regulatory system for on-line arbitration. In addition, the evaluation will be conducted based upon how successfully it measures success as well as the possible insights of the current state of the market. The research paper is a qualitative and comparative study for determining phenomenological methods of research; and the paper examined the scenario for arbitration as well as the stakeholders involved in order to measure the perceptions and opinions of the respondents. The implications of the practice of on-line arbitration influence the possible insights resulting from in-depth discussions based on the results of the primary and secondary data analyses. On-line arbitration is one of the most successful ways to resolve disputes by facilitating the problems being addressed via media or other platforms. Therefore, it is found that "Federal Law No. 1 of 2006" provides protection for the rights of those who do business electronically with possible insights.</w:t>
      </w:r>
    </w:p>
    <w:p w14:paraId="4C0DFB42" w14:textId="77777777" w:rsidR="00F073C0" w:rsidRPr="008819FD" w:rsidRDefault="00F073C0" w:rsidP="00AE139B">
      <w:pPr>
        <w:pStyle w:val="References"/>
        <w:spacing w:line="480" w:lineRule="auto"/>
        <w:rPr>
          <w:rFonts w:asciiTheme="majorBidi" w:hAnsiTheme="majorBidi" w:cstheme="majorBidi"/>
          <w:sz w:val="24"/>
          <w:szCs w:val="24"/>
          <w:lang w:bidi="en-US"/>
        </w:rPr>
      </w:pPr>
      <w:bookmarkStart w:id="460" w:name="_Toc217491666"/>
      <w:bookmarkStart w:id="461" w:name="_Toc209627018"/>
      <w:bookmarkStart w:id="462" w:name="_Toc221804618"/>
      <w:r>
        <w:rPr>
          <w:rFonts w:asciiTheme="majorBidi" w:hAnsiTheme="majorBidi" w:cstheme="majorBidi"/>
          <w:sz w:val="24"/>
          <w:szCs w:val="24"/>
          <w:lang w:bidi="en-US"/>
        </w:rPr>
        <w:t>References</w:t>
      </w:r>
      <w:bookmarkEnd w:id="460"/>
      <w:bookmarkEnd w:id="461"/>
      <w:r>
        <w:rPr>
          <w:rFonts w:asciiTheme="majorBidi" w:hAnsiTheme="majorBidi" w:cstheme="majorBidi"/>
          <w:sz w:val="24"/>
          <w:szCs w:val="24"/>
          <w:lang w:bidi="en-US"/>
        </w:rPr>
        <w:t xml:space="preserve"> :</w:t>
      </w:r>
      <w:bookmarkEnd w:id="462"/>
      <w:r>
        <w:rPr>
          <w:rFonts w:asciiTheme="majorBidi" w:hAnsiTheme="majorBidi" w:cstheme="majorBidi"/>
          <w:sz w:val="24"/>
          <w:szCs w:val="24"/>
          <w:lang w:bidi="en-US"/>
        </w:rPr>
        <w:t xml:space="preserve"> </w:t>
      </w:r>
    </w:p>
    <w:p w14:paraId="4F6CEE17"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63" w:name="_Toc221804619"/>
      <w:r>
        <w:rPr>
          <w:rFonts w:asciiTheme="majorBidi" w:hAnsiTheme="majorBidi" w:cstheme="majorBidi"/>
          <w:b w:val="0"/>
          <w:bCs/>
          <w:sz w:val="24"/>
          <w:szCs w:val="24"/>
        </w:rPr>
        <w:t xml:space="preserve">Abdel Wahab MS and Katsh E, ‘Revolutionizing Technologies and the Use of Technology in International Arbitration: Innovation, Legitimacy, Prospects and Challenges’ in Maud Piers and Christian Aschauer (eds), </w:t>
      </w:r>
      <w:r>
        <w:rPr>
          <w:rFonts w:asciiTheme="majorBidi" w:hAnsiTheme="majorBidi" w:cstheme="majorBidi"/>
          <w:b w:val="0"/>
          <w:bCs/>
          <w:i/>
          <w:iCs/>
          <w:sz w:val="24"/>
          <w:szCs w:val="24"/>
        </w:rPr>
        <w:t>Arbitration in the Digital Age: The Brave New World of Arbitration</w:t>
      </w:r>
      <w:r>
        <w:rPr>
          <w:rFonts w:asciiTheme="majorBidi" w:hAnsiTheme="majorBidi" w:cstheme="majorBidi"/>
          <w:b w:val="0"/>
          <w:bCs/>
          <w:sz w:val="24"/>
          <w:szCs w:val="24"/>
        </w:rPr>
        <w:t xml:space="preserve"> (Cambridge University Press 2018).</w:t>
      </w:r>
      <w:bookmarkEnd w:id="463"/>
    </w:p>
    <w:p w14:paraId="20F6BD67"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64" w:name="_Toc221804620"/>
      <w:r>
        <w:rPr>
          <w:rFonts w:asciiTheme="majorBidi" w:hAnsiTheme="majorBidi" w:cstheme="majorBidi"/>
          <w:b w:val="0"/>
          <w:bCs/>
          <w:sz w:val="24"/>
          <w:szCs w:val="24"/>
        </w:rPr>
        <w:lastRenderedPageBreak/>
        <w:t xml:space="preserve">Abdullah JQS, ‘Domain Name Governance and Dispute Resolution’ (2018) 5(1) </w:t>
      </w:r>
      <w:r>
        <w:rPr>
          <w:rFonts w:asciiTheme="majorBidi" w:hAnsiTheme="majorBidi" w:cstheme="majorBidi"/>
          <w:b w:val="0"/>
          <w:bCs/>
          <w:i/>
          <w:iCs/>
          <w:sz w:val="24"/>
          <w:szCs w:val="24"/>
        </w:rPr>
        <w:t>Court Uncourt</w:t>
      </w:r>
      <w:r>
        <w:rPr>
          <w:rFonts w:asciiTheme="majorBidi" w:hAnsiTheme="majorBidi" w:cstheme="majorBidi"/>
          <w:b w:val="0"/>
          <w:bCs/>
          <w:sz w:val="24"/>
          <w:szCs w:val="24"/>
        </w:rPr>
        <w:t xml:space="preserve"> 12.</w:t>
      </w:r>
      <w:bookmarkEnd w:id="464"/>
    </w:p>
    <w:p w14:paraId="34CCD21D"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65" w:name="_Toc221804621"/>
      <w:r>
        <w:rPr>
          <w:rFonts w:asciiTheme="majorBidi" w:hAnsiTheme="majorBidi" w:cstheme="majorBidi"/>
          <w:b w:val="0"/>
          <w:bCs/>
          <w:sz w:val="24"/>
          <w:szCs w:val="24"/>
        </w:rPr>
        <w:t xml:space="preserve">Ahmed Al-Mulla, ‘Online Arbitration and Its Legal Challenges in the UAE’ (2021) 35 </w:t>
      </w:r>
      <w:r>
        <w:rPr>
          <w:rFonts w:asciiTheme="majorBidi" w:hAnsiTheme="majorBidi" w:cstheme="majorBidi"/>
          <w:b w:val="0"/>
          <w:bCs/>
          <w:i/>
          <w:iCs/>
          <w:sz w:val="24"/>
          <w:szCs w:val="24"/>
        </w:rPr>
        <w:t>Arab Law Quarterly</w:t>
      </w:r>
      <w:r>
        <w:rPr>
          <w:rFonts w:asciiTheme="majorBidi" w:hAnsiTheme="majorBidi" w:cstheme="majorBidi"/>
          <w:b w:val="0"/>
          <w:bCs/>
          <w:sz w:val="24"/>
          <w:szCs w:val="24"/>
        </w:rPr>
        <w:t xml:space="preserve"> 112.</w:t>
      </w:r>
      <w:bookmarkEnd w:id="465"/>
    </w:p>
    <w:p w14:paraId="30A57721"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66" w:name="_Toc221804622"/>
      <w:r>
        <w:rPr>
          <w:rFonts w:asciiTheme="majorBidi" w:hAnsiTheme="majorBidi" w:cstheme="majorBidi"/>
          <w:b w:val="0"/>
          <w:bCs/>
          <w:sz w:val="24"/>
          <w:szCs w:val="24"/>
        </w:rPr>
        <w:t>Ahmed, S., &amp; Foster, L. (2025). Cybersecurity and confidentiality in online arbitration.</w:t>
      </w:r>
      <w:bookmarkEnd w:id="466"/>
    </w:p>
    <w:p w14:paraId="56D80999"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67" w:name="_Toc221804623"/>
      <w:r>
        <w:rPr>
          <w:rFonts w:asciiTheme="majorBidi" w:hAnsiTheme="majorBidi" w:cstheme="majorBidi"/>
          <w:b w:val="0"/>
          <w:bCs/>
          <w:sz w:val="24"/>
          <w:szCs w:val="24"/>
        </w:rPr>
        <w:t>Al Hamed MAA, ‘Electronic Arbitration as a Solution for Electronic Commerce Dispute Resolution in the United Arab Emirates: Obstacles and Enforceability Challenges’.</w:t>
      </w:r>
      <w:bookmarkEnd w:id="467"/>
    </w:p>
    <w:p w14:paraId="38F51FE7"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68" w:name="_Toc221804624"/>
      <w:r>
        <w:rPr>
          <w:rFonts w:asciiTheme="majorBidi" w:hAnsiTheme="majorBidi" w:cstheme="majorBidi"/>
          <w:b w:val="0"/>
          <w:bCs/>
          <w:sz w:val="24"/>
          <w:szCs w:val="24"/>
        </w:rPr>
        <w:t xml:space="preserve">Al-Sharrah A and El-Darwiche A, ‘Online Arbitration and Its Future’ (2021) 16(3) </w:t>
      </w:r>
      <w:r>
        <w:rPr>
          <w:rFonts w:asciiTheme="majorBidi" w:hAnsiTheme="majorBidi" w:cstheme="majorBidi"/>
          <w:b w:val="0"/>
          <w:bCs/>
          <w:i/>
          <w:iCs/>
          <w:sz w:val="24"/>
          <w:szCs w:val="24"/>
        </w:rPr>
        <w:t>Journal of International Commercial Law and Technology</w:t>
      </w:r>
      <w:r>
        <w:rPr>
          <w:rFonts w:asciiTheme="majorBidi" w:hAnsiTheme="majorBidi" w:cstheme="majorBidi"/>
          <w:b w:val="0"/>
          <w:bCs/>
          <w:sz w:val="24"/>
          <w:szCs w:val="24"/>
        </w:rPr>
        <w:t xml:space="preserve"> 232.</w:t>
      </w:r>
      <w:bookmarkEnd w:id="468"/>
    </w:p>
    <w:p w14:paraId="2ED5BB48"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69" w:name="_Toc221804625"/>
      <w:r>
        <w:rPr>
          <w:rFonts w:asciiTheme="majorBidi" w:hAnsiTheme="majorBidi" w:cstheme="majorBidi"/>
          <w:b w:val="0"/>
          <w:bCs/>
          <w:sz w:val="24"/>
          <w:szCs w:val="24"/>
        </w:rPr>
        <w:t xml:space="preserve">Alvik I, </w:t>
      </w:r>
      <w:r>
        <w:rPr>
          <w:rFonts w:asciiTheme="majorBidi" w:hAnsiTheme="majorBidi" w:cstheme="majorBidi"/>
          <w:b w:val="0"/>
          <w:bCs/>
          <w:i/>
          <w:iCs/>
          <w:sz w:val="24"/>
          <w:szCs w:val="24"/>
        </w:rPr>
        <w:t>Contracting with Sovereignty: State Contracts and International Arbitration</w:t>
      </w:r>
      <w:r>
        <w:rPr>
          <w:rFonts w:asciiTheme="majorBidi" w:hAnsiTheme="majorBidi" w:cstheme="majorBidi"/>
          <w:b w:val="0"/>
          <w:bCs/>
          <w:sz w:val="24"/>
          <w:szCs w:val="24"/>
        </w:rPr>
        <w:t xml:space="preserve"> (Bloomsbury Publishing 2011).</w:t>
      </w:r>
      <w:bookmarkEnd w:id="469"/>
    </w:p>
    <w:p w14:paraId="587E953E"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70" w:name="_Toc221804626"/>
      <w:r>
        <w:rPr>
          <w:rFonts w:asciiTheme="majorBidi" w:hAnsiTheme="majorBidi" w:cstheme="majorBidi"/>
          <w:b w:val="0"/>
          <w:bCs/>
          <w:sz w:val="24"/>
          <w:szCs w:val="24"/>
        </w:rPr>
        <w:t xml:space="preserve">Baldwin R, Cave M and Lodge M, </w:t>
      </w:r>
      <w:r>
        <w:rPr>
          <w:rFonts w:asciiTheme="majorBidi" w:hAnsiTheme="majorBidi" w:cstheme="majorBidi"/>
          <w:b w:val="0"/>
          <w:bCs/>
          <w:i/>
          <w:iCs/>
          <w:sz w:val="24"/>
          <w:szCs w:val="24"/>
        </w:rPr>
        <w:t>Understanding Regulation: Theory, Strategy and Practice</w:t>
      </w:r>
      <w:r>
        <w:rPr>
          <w:rFonts w:asciiTheme="majorBidi" w:hAnsiTheme="majorBidi" w:cstheme="majorBidi"/>
          <w:b w:val="0"/>
          <w:bCs/>
          <w:sz w:val="24"/>
          <w:szCs w:val="24"/>
        </w:rPr>
        <w:t xml:space="preserve"> (Oxford University Press 2011).</w:t>
      </w:r>
      <w:bookmarkEnd w:id="470"/>
    </w:p>
    <w:p w14:paraId="0B304E6F"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71" w:name="_Toc221804627"/>
      <w:r>
        <w:rPr>
          <w:rFonts w:asciiTheme="majorBidi" w:hAnsiTheme="majorBidi" w:cstheme="majorBidi"/>
          <w:b w:val="0"/>
          <w:bCs/>
          <w:sz w:val="24"/>
          <w:szCs w:val="24"/>
        </w:rPr>
        <w:t xml:space="preserve">Berger KP, </w:t>
      </w:r>
      <w:r>
        <w:rPr>
          <w:rFonts w:asciiTheme="majorBidi" w:hAnsiTheme="majorBidi" w:cstheme="majorBidi"/>
          <w:b w:val="0"/>
          <w:bCs/>
          <w:i/>
          <w:iCs/>
          <w:sz w:val="24"/>
          <w:szCs w:val="24"/>
        </w:rPr>
        <w:t>Private Dispute Resolution in International Business</w:t>
      </w:r>
      <w:r>
        <w:rPr>
          <w:rFonts w:asciiTheme="majorBidi" w:hAnsiTheme="majorBidi" w:cstheme="majorBidi"/>
          <w:b w:val="0"/>
          <w:bCs/>
          <w:sz w:val="24"/>
          <w:szCs w:val="24"/>
        </w:rPr>
        <w:t xml:space="preserve"> (Transnational Dispute Management 2007).</w:t>
      </w:r>
      <w:bookmarkEnd w:id="471"/>
    </w:p>
    <w:p w14:paraId="573DA2CF"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72" w:name="_Toc221804628"/>
      <w:r>
        <w:rPr>
          <w:rFonts w:asciiTheme="majorBidi" w:hAnsiTheme="majorBidi" w:cstheme="majorBidi"/>
          <w:b w:val="0"/>
          <w:bCs/>
          <w:sz w:val="24"/>
          <w:szCs w:val="24"/>
        </w:rPr>
        <w:t xml:space="preserve">Black J, ‘Decentring Regulation: Understanding the Role of Regulation and Self-Regulation in a Post-Regulatory World’ (2001) 54(1) </w:t>
      </w:r>
      <w:r>
        <w:rPr>
          <w:rFonts w:asciiTheme="majorBidi" w:hAnsiTheme="majorBidi" w:cstheme="majorBidi"/>
          <w:b w:val="0"/>
          <w:bCs/>
          <w:i/>
          <w:iCs/>
          <w:sz w:val="24"/>
          <w:szCs w:val="24"/>
        </w:rPr>
        <w:t>Current Legal Problems</w:t>
      </w:r>
      <w:r>
        <w:rPr>
          <w:rFonts w:asciiTheme="majorBidi" w:hAnsiTheme="majorBidi" w:cstheme="majorBidi"/>
          <w:b w:val="0"/>
          <w:bCs/>
          <w:sz w:val="24"/>
          <w:szCs w:val="24"/>
        </w:rPr>
        <w:t xml:space="preserve"> 103.</w:t>
      </w:r>
      <w:bookmarkEnd w:id="472"/>
    </w:p>
    <w:p w14:paraId="729BB8A9"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73" w:name="_Toc221804629"/>
      <w:r>
        <w:rPr>
          <w:rFonts w:asciiTheme="majorBidi" w:hAnsiTheme="majorBidi" w:cstheme="majorBidi"/>
          <w:b w:val="0"/>
          <w:bCs/>
          <w:sz w:val="24"/>
          <w:szCs w:val="24"/>
        </w:rPr>
        <w:t xml:space="preserve">Born G, </w:t>
      </w:r>
      <w:r>
        <w:rPr>
          <w:rFonts w:asciiTheme="majorBidi" w:hAnsiTheme="majorBidi" w:cstheme="majorBidi"/>
          <w:b w:val="0"/>
          <w:bCs/>
          <w:i/>
          <w:iCs/>
          <w:sz w:val="24"/>
          <w:szCs w:val="24"/>
        </w:rPr>
        <w:t>International Arbitration: Law and Practice</w:t>
      </w:r>
      <w:r>
        <w:rPr>
          <w:rFonts w:asciiTheme="majorBidi" w:hAnsiTheme="majorBidi" w:cstheme="majorBidi"/>
          <w:b w:val="0"/>
          <w:bCs/>
          <w:sz w:val="24"/>
          <w:szCs w:val="24"/>
        </w:rPr>
        <w:t xml:space="preserve"> (Kluwer Law International 2021).</w:t>
      </w:r>
      <w:bookmarkEnd w:id="473"/>
    </w:p>
    <w:p w14:paraId="5B0826F3"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74" w:name="_Toc221804630"/>
      <w:r>
        <w:rPr>
          <w:rFonts w:asciiTheme="majorBidi" w:hAnsiTheme="majorBidi" w:cstheme="majorBidi"/>
          <w:b w:val="0"/>
          <w:bCs/>
          <w:sz w:val="24"/>
          <w:szCs w:val="24"/>
        </w:rPr>
        <w:t xml:space="preserve">Brown K and Wilson R, ‘Enforceability of Online Arbitration Awards under the New York Convention’ (2022) 39(4) </w:t>
      </w:r>
      <w:r>
        <w:rPr>
          <w:rFonts w:asciiTheme="majorBidi" w:hAnsiTheme="majorBidi" w:cstheme="majorBidi"/>
          <w:b w:val="0"/>
          <w:bCs/>
          <w:i/>
          <w:iCs/>
          <w:sz w:val="24"/>
          <w:szCs w:val="24"/>
        </w:rPr>
        <w:t>Journal of International Arbitration</w:t>
      </w:r>
      <w:r>
        <w:rPr>
          <w:rFonts w:asciiTheme="majorBidi" w:hAnsiTheme="majorBidi" w:cstheme="majorBidi"/>
          <w:b w:val="0"/>
          <w:bCs/>
          <w:sz w:val="24"/>
          <w:szCs w:val="24"/>
        </w:rPr>
        <w:t xml:space="preserve"> 321.</w:t>
      </w:r>
      <w:bookmarkEnd w:id="474"/>
    </w:p>
    <w:p w14:paraId="62CB2658"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75" w:name="_Toc221804631"/>
      <w:r>
        <w:rPr>
          <w:rFonts w:asciiTheme="majorBidi" w:hAnsiTheme="majorBidi" w:cstheme="majorBidi"/>
          <w:b w:val="0"/>
          <w:bCs/>
          <w:sz w:val="24"/>
          <w:szCs w:val="24"/>
        </w:rPr>
        <w:lastRenderedPageBreak/>
        <w:t xml:space="preserve">Carr K, ‘Security Gaps in Online Arbitration Platforms and Potential Solutions’ (2025) 48(1) </w:t>
      </w:r>
      <w:r>
        <w:rPr>
          <w:rFonts w:asciiTheme="majorBidi" w:hAnsiTheme="majorBidi" w:cstheme="majorBidi"/>
          <w:b w:val="0"/>
          <w:bCs/>
          <w:i/>
          <w:iCs/>
          <w:sz w:val="24"/>
          <w:szCs w:val="24"/>
        </w:rPr>
        <w:t>Cybersecurity Law Review</w:t>
      </w:r>
      <w:r>
        <w:rPr>
          <w:rFonts w:asciiTheme="majorBidi" w:hAnsiTheme="majorBidi" w:cstheme="majorBidi"/>
          <w:b w:val="0"/>
          <w:bCs/>
          <w:sz w:val="24"/>
          <w:szCs w:val="24"/>
        </w:rPr>
        <w:t xml:space="preserve"> 98.</w:t>
      </w:r>
      <w:bookmarkEnd w:id="475"/>
    </w:p>
    <w:p w14:paraId="268AF7A7"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76" w:name="_Toc221804632"/>
      <w:r>
        <w:rPr>
          <w:rFonts w:asciiTheme="majorBidi" w:hAnsiTheme="majorBidi" w:cstheme="majorBidi"/>
          <w:b w:val="0"/>
          <w:bCs/>
          <w:sz w:val="24"/>
          <w:szCs w:val="24"/>
        </w:rPr>
        <w:t>Carr, K. (2025). Security gaps in online arbitration platforms.</w:t>
      </w:r>
      <w:bookmarkEnd w:id="476"/>
    </w:p>
    <w:p w14:paraId="3C4B9AE8"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77" w:name="_Toc221804633"/>
      <w:r>
        <w:rPr>
          <w:rFonts w:asciiTheme="majorBidi" w:hAnsiTheme="majorBidi" w:cstheme="majorBidi"/>
          <w:b w:val="0"/>
          <w:bCs/>
          <w:sz w:val="24"/>
          <w:szCs w:val="24"/>
        </w:rPr>
        <w:t xml:space="preserve">Chandra GR, ‘Cyber Space for Universal Peace: The Contribution of Online Dispute Resolution’ (2016) 6(1) </w:t>
      </w:r>
      <w:r>
        <w:rPr>
          <w:rFonts w:asciiTheme="majorBidi" w:hAnsiTheme="majorBidi" w:cstheme="majorBidi"/>
          <w:b w:val="0"/>
          <w:bCs/>
          <w:i/>
          <w:iCs/>
          <w:sz w:val="24"/>
          <w:szCs w:val="24"/>
        </w:rPr>
        <w:t>IUP Law Review</w:t>
      </w:r>
      <w:r>
        <w:rPr>
          <w:rFonts w:asciiTheme="majorBidi" w:hAnsiTheme="majorBidi" w:cstheme="majorBidi"/>
          <w:b w:val="0"/>
          <w:bCs/>
          <w:sz w:val="24"/>
          <w:szCs w:val="24"/>
        </w:rPr>
        <w:t xml:space="preserve"> 23.</w:t>
      </w:r>
      <w:bookmarkEnd w:id="477"/>
    </w:p>
    <w:p w14:paraId="3B829CEF"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78" w:name="_Toc221804634"/>
      <w:r>
        <w:rPr>
          <w:rFonts w:asciiTheme="majorBidi" w:hAnsiTheme="majorBidi" w:cstheme="majorBidi"/>
          <w:b w:val="0"/>
          <w:bCs/>
          <w:sz w:val="24"/>
          <w:szCs w:val="24"/>
        </w:rPr>
        <w:t xml:space="preserve">Choong CK, ‘Online Dispute Resolution and Electronic Arbitration’ (2015) 6(9) </w:t>
      </w:r>
      <w:r>
        <w:rPr>
          <w:rFonts w:asciiTheme="majorBidi" w:hAnsiTheme="majorBidi" w:cstheme="majorBidi"/>
          <w:b w:val="0"/>
          <w:bCs/>
          <w:i/>
          <w:iCs/>
          <w:sz w:val="24"/>
          <w:szCs w:val="24"/>
        </w:rPr>
        <w:t>International Journal of Business and Social Science</w:t>
      </w:r>
      <w:r>
        <w:rPr>
          <w:rFonts w:asciiTheme="majorBidi" w:hAnsiTheme="majorBidi" w:cstheme="majorBidi"/>
          <w:b w:val="0"/>
          <w:bCs/>
          <w:sz w:val="24"/>
          <w:szCs w:val="24"/>
        </w:rPr>
        <w:t xml:space="preserve"> 140.</w:t>
      </w:r>
      <w:bookmarkEnd w:id="478"/>
    </w:p>
    <w:p w14:paraId="1CCB50D2"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79" w:name="_Toc221804635"/>
      <w:r>
        <w:rPr>
          <w:rFonts w:asciiTheme="majorBidi" w:hAnsiTheme="majorBidi" w:cstheme="majorBidi"/>
          <w:b w:val="0"/>
          <w:bCs/>
          <w:sz w:val="24"/>
          <w:szCs w:val="24"/>
        </w:rPr>
        <w:t xml:space="preserve">Clark J and Foster E, ‘Virtual Hearings and Due Process Concerns in Online Arbitration’ (2022) 33(5) </w:t>
      </w:r>
      <w:r>
        <w:rPr>
          <w:rFonts w:asciiTheme="majorBidi" w:hAnsiTheme="majorBidi" w:cstheme="majorBidi"/>
          <w:b w:val="0"/>
          <w:bCs/>
          <w:i/>
          <w:iCs/>
          <w:sz w:val="24"/>
          <w:szCs w:val="24"/>
        </w:rPr>
        <w:t>Arbitration Law Journal</w:t>
      </w:r>
      <w:r>
        <w:rPr>
          <w:rFonts w:asciiTheme="majorBidi" w:hAnsiTheme="majorBidi" w:cstheme="majorBidi"/>
          <w:b w:val="0"/>
          <w:bCs/>
          <w:sz w:val="24"/>
          <w:szCs w:val="24"/>
        </w:rPr>
        <w:t xml:space="preserve"> 267.</w:t>
      </w:r>
      <w:bookmarkEnd w:id="479"/>
    </w:p>
    <w:p w14:paraId="3EE85384"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80" w:name="_Toc221804636"/>
      <w:r>
        <w:rPr>
          <w:rFonts w:asciiTheme="majorBidi" w:hAnsiTheme="majorBidi" w:cstheme="majorBidi"/>
          <w:b w:val="0"/>
          <w:bCs/>
          <w:sz w:val="24"/>
          <w:szCs w:val="24"/>
        </w:rPr>
        <w:t>Evans, B. (2021). Hybrid arbitration models.</w:t>
      </w:r>
      <w:bookmarkEnd w:id="480"/>
    </w:p>
    <w:p w14:paraId="71D8D6E0"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81" w:name="_Toc221804637"/>
      <w:r>
        <w:rPr>
          <w:rFonts w:asciiTheme="majorBidi" w:hAnsiTheme="majorBidi" w:cstheme="majorBidi"/>
          <w:b w:val="0"/>
          <w:bCs/>
          <w:sz w:val="24"/>
          <w:szCs w:val="24"/>
        </w:rPr>
        <w:t>Federal Law No 6 of 2018 on Arbitration (UAE).</w:t>
      </w:r>
      <w:bookmarkEnd w:id="481"/>
    </w:p>
    <w:p w14:paraId="26B84D1B"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82" w:name="_Toc221804638"/>
      <w:r>
        <w:rPr>
          <w:rFonts w:asciiTheme="majorBidi" w:hAnsiTheme="majorBidi" w:cstheme="majorBidi"/>
          <w:b w:val="0"/>
          <w:bCs/>
          <w:sz w:val="24"/>
          <w:szCs w:val="24"/>
        </w:rPr>
        <w:t xml:space="preserve">Giupponi B, ‘Virtual Dispute Resolution in International Arbitration’ in </w:t>
      </w:r>
      <w:r>
        <w:rPr>
          <w:rFonts w:asciiTheme="majorBidi" w:hAnsiTheme="majorBidi" w:cstheme="majorBidi"/>
          <w:b w:val="0"/>
          <w:bCs/>
          <w:i/>
          <w:iCs/>
          <w:sz w:val="24"/>
          <w:szCs w:val="24"/>
        </w:rPr>
        <w:t>The Impact of Covid on International Disputes</w:t>
      </w:r>
      <w:r>
        <w:rPr>
          <w:rFonts w:asciiTheme="majorBidi" w:hAnsiTheme="majorBidi" w:cstheme="majorBidi"/>
          <w:b w:val="0"/>
          <w:bCs/>
          <w:sz w:val="24"/>
          <w:szCs w:val="24"/>
        </w:rPr>
        <w:t xml:space="preserve"> (Brill 2022).</w:t>
      </w:r>
      <w:bookmarkEnd w:id="482"/>
    </w:p>
    <w:p w14:paraId="0772D6DC"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83" w:name="_Toc221804639"/>
      <w:r>
        <w:rPr>
          <w:rFonts w:asciiTheme="majorBidi" w:hAnsiTheme="majorBidi" w:cstheme="majorBidi"/>
          <w:b w:val="0"/>
          <w:bCs/>
          <w:sz w:val="24"/>
          <w:szCs w:val="24"/>
        </w:rPr>
        <w:t xml:space="preserve">Katsh E and Rule C, ‘What We Know and Need to Know about Online Dispute Resolution’ (2015) 67(2) </w:t>
      </w:r>
      <w:r>
        <w:rPr>
          <w:rFonts w:asciiTheme="majorBidi" w:hAnsiTheme="majorBidi" w:cstheme="majorBidi"/>
          <w:b w:val="0"/>
          <w:bCs/>
          <w:i/>
          <w:iCs/>
          <w:sz w:val="24"/>
          <w:szCs w:val="24"/>
        </w:rPr>
        <w:t>South Carolina Law Review</w:t>
      </w:r>
      <w:r>
        <w:rPr>
          <w:rFonts w:asciiTheme="majorBidi" w:hAnsiTheme="majorBidi" w:cstheme="majorBidi"/>
          <w:b w:val="0"/>
          <w:bCs/>
          <w:sz w:val="24"/>
          <w:szCs w:val="24"/>
        </w:rPr>
        <w:t xml:space="preserve"> 329.</w:t>
      </w:r>
      <w:bookmarkEnd w:id="483"/>
    </w:p>
    <w:p w14:paraId="5BA9656D"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84" w:name="_Toc221804640"/>
      <w:r>
        <w:rPr>
          <w:rFonts w:asciiTheme="majorBidi" w:hAnsiTheme="majorBidi" w:cstheme="majorBidi"/>
          <w:b w:val="0"/>
          <w:bCs/>
          <w:sz w:val="24"/>
          <w:szCs w:val="24"/>
        </w:rPr>
        <w:t xml:space="preserve">Kaufmann-Kohler G, ‘Online Dispute Resolution and Its Significance for International Commercial Arbitration’ in Aksen G and others (eds), </w:t>
      </w:r>
      <w:r>
        <w:rPr>
          <w:rFonts w:asciiTheme="majorBidi" w:hAnsiTheme="majorBidi" w:cstheme="majorBidi"/>
          <w:b w:val="0"/>
          <w:bCs/>
          <w:i/>
          <w:iCs/>
          <w:sz w:val="24"/>
          <w:szCs w:val="24"/>
        </w:rPr>
        <w:t>Global Reflections on International Law, Commerce and Dispute Resolution</w:t>
      </w:r>
      <w:r>
        <w:rPr>
          <w:rFonts w:asciiTheme="majorBidi" w:hAnsiTheme="majorBidi" w:cstheme="majorBidi"/>
          <w:b w:val="0"/>
          <w:bCs/>
          <w:sz w:val="24"/>
          <w:szCs w:val="24"/>
        </w:rPr>
        <w:t xml:space="preserve"> (ICC Publishing 2005).</w:t>
      </w:r>
      <w:bookmarkEnd w:id="484"/>
    </w:p>
    <w:p w14:paraId="0CA4E696"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85" w:name="_Toc221804641"/>
      <w:r>
        <w:rPr>
          <w:rFonts w:asciiTheme="majorBidi" w:hAnsiTheme="majorBidi" w:cstheme="majorBidi"/>
          <w:b w:val="0"/>
          <w:bCs/>
          <w:sz w:val="24"/>
          <w:szCs w:val="24"/>
        </w:rPr>
        <w:t xml:space="preserve">Koh HH, ‘The “Gants Principles” for Online Dispute Resolution’ (2021) 62(7) </w:t>
      </w:r>
      <w:r>
        <w:rPr>
          <w:rFonts w:asciiTheme="majorBidi" w:hAnsiTheme="majorBidi" w:cstheme="majorBidi"/>
          <w:b w:val="0"/>
          <w:bCs/>
          <w:i/>
          <w:iCs/>
          <w:sz w:val="24"/>
          <w:szCs w:val="24"/>
        </w:rPr>
        <w:t>Boston College Law Review</w:t>
      </w:r>
      <w:r>
        <w:rPr>
          <w:rFonts w:asciiTheme="majorBidi" w:hAnsiTheme="majorBidi" w:cstheme="majorBidi"/>
          <w:b w:val="0"/>
          <w:bCs/>
          <w:sz w:val="24"/>
          <w:szCs w:val="24"/>
        </w:rPr>
        <w:t xml:space="preserve"> 2768.</w:t>
      </w:r>
      <w:bookmarkEnd w:id="485"/>
    </w:p>
    <w:p w14:paraId="2D2EAFC2"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86" w:name="_Toc221804642"/>
      <w:r>
        <w:rPr>
          <w:rFonts w:asciiTheme="majorBidi" w:hAnsiTheme="majorBidi" w:cstheme="majorBidi"/>
          <w:b w:val="0"/>
          <w:bCs/>
          <w:sz w:val="24"/>
          <w:szCs w:val="24"/>
        </w:rPr>
        <w:lastRenderedPageBreak/>
        <w:t xml:space="preserve">Koulu R, ‘Blockchains and Online Dispute Resolution: Smart Contracts as an Alternative to Enforcement’ (2016) 13(2) </w:t>
      </w:r>
      <w:r>
        <w:rPr>
          <w:rFonts w:asciiTheme="majorBidi" w:hAnsiTheme="majorBidi" w:cstheme="majorBidi"/>
          <w:b w:val="0"/>
          <w:bCs/>
          <w:i/>
          <w:iCs/>
          <w:sz w:val="24"/>
          <w:szCs w:val="24"/>
        </w:rPr>
        <w:t>Journal of Dispute Resolution</w:t>
      </w:r>
      <w:r>
        <w:rPr>
          <w:rFonts w:asciiTheme="majorBidi" w:hAnsiTheme="majorBidi" w:cstheme="majorBidi"/>
          <w:b w:val="0"/>
          <w:bCs/>
          <w:sz w:val="24"/>
          <w:szCs w:val="24"/>
        </w:rPr>
        <w:t xml:space="preserve"> 1.</w:t>
      </w:r>
      <w:bookmarkEnd w:id="486"/>
    </w:p>
    <w:p w14:paraId="73195FD8"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87" w:name="_Toc221804643"/>
      <w:r>
        <w:rPr>
          <w:rFonts w:asciiTheme="majorBidi" w:hAnsiTheme="majorBidi" w:cstheme="majorBidi"/>
          <w:b w:val="0"/>
          <w:bCs/>
          <w:sz w:val="24"/>
          <w:szCs w:val="24"/>
        </w:rPr>
        <w:t xml:space="preserve">Mania K, ‘Online Dispute Resolution: The Future of Justice’ (2015) 1(1) </w:t>
      </w:r>
      <w:r>
        <w:rPr>
          <w:rFonts w:asciiTheme="majorBidi" w:hAnsiTheme="majorBidi" w:cstheme="majorBidi"/>
          <w:b w:val="0"/>
          <w:bCs/>
          <w:i/>
          <w:iCs/>
          <w:sz w:val="24"/>
          <w:szCs w:val="24"/>
        </w:rPr>
        <w:t>International Comparative Jurisprudence</w:t>
      </w:r>
      <w:r>
        <w:rPr>
          <w:rFonts w:asciiTheme="majorBidi" w:hAnsiTheme="majorBidi" w:cstheme="majorBidi"/>
          <w:b w:val="0"/>
          <w:bCs/>
          <w:sz w:val="24"/>
          <w:szCs w:val="24"/>
        </w:rPr>
        <w:t xml:space="preserve"> 76.</w:t>
      </w:r>
      <w:bookmarkEnd w:id="487"/>
    </w:p>
    <w:p w14:paraId="2F7ECE6A"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88" w:name="_Toc221804644"/>
      <w:r>
        <w:rPr>
          <w:rFonts w:asciiTheme="majorBidi" w:hAnsiTheme="majorBidi" w:cstheme="majorBidi"/>
          <w:b w:val="0"/>
          <w:bCs/>
          <w:sz w:val="24"/>
          <w:szCs w:val="24"/>
        </w:rPr>
        <w:t xml:space="preserve">Martinez L and Brown H, ‘Data Protection and GDPR Compliance in Online Arbitration’ (2023) 40(3) </w:t>
      </w:r>
      <w:r>
        <w:rPr>
          <w:rFonts w:asciiTheme="majorBidi" w:hAnsiTheme="majorBidi" w:cstheme="majorBidi"/>
          <w:b w:val="0"/>
          <w:bCs/>
          <w:i/>
          <w:iCs/>
          <w:sz w:val="24"/>
          <w:szCs w:val="24"/>
        </w:rPr>
        <w:t>European Law Review</w:t>
      </w:r>
      <w:r>
        <w:rPr>
          <w:rFonts w:asciiTheme="majorBidi" w:hAnsiTheme="majorBidi" w:cstheme="majorBidi"/>
          <w:b w:val="0"/>
          <w:bCs/>
          <w:sz w:val="24"/>
          <w:szCs w:val="24"/>
        </w:rPr>
        <w:t xml:space="preserve"> 198.</w:t>
      </w:r>
      <w:bookmarkEnd w:id="488"/>
    </w:p>
    <w:p w14:paraId="2EC1968B"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89" w:name="_Toc221804645"/>
      <w:r>
        <w:rPr>
          <w:rFonts w:asciiTheme="majorBidi" w:hAnsiTheme="majorBidi" w:cstheme="majorBidi"/>
          <w:b w:val="0"/>
          <w:bCs/>
          <w:sz w:val="24"/>
          <w:szCs w:val="24"/>
        </w:rPr>
        <w:t xml:space="preserve">Moses ML, </w:t>
      </w:r>
      <w:r>
        <w:rPr>
          <w:rFonts w:asciiTheme="majorBidi" w:hAnsiTheme="majorBidi" w:cstheme="majorBidi"/>
          <w:b w:val="0"/>
          <w:bCs/>
          <w:i/>
          <w:iCs/>
          <w:sz w:val="24"/>
          <w:szCs w:val="24"/>
        </w:rPr>
        <w:t>The Principles and Practice of International Commercial Arbitration</w:t>
      </w:r>
      <w:r>
        <w:rPr>
          <w:rFonts w:asciiTheme="majorBidi" w:hAnsiTheme="majorBidi" w:cstheme="majorBidi"/>
          <w:b w:val="0"/>
          <w:bCs/>
          <w:sz w:val="24"/>
          <w:szCs w:val="24"/>
        </w:rPr>
        <w:t xml:space="preserve"> (Cambridge University Press 2017).</w:t>
      </w:r>
      <w:bookmarkEnd w:id="489"/>
    </w:p>
    <w:p w14:paraId="53B92AC3"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90" w:name="_Toc221804646"/>
      <w:r>
        <w:rPr>
          <w:rFonts w:asciiTheme="majorBidi" w:hAnsiTheme="majorBidi" w:cstheme="majorBidi"/>
          <w:b w:val="0"/>
          <w:bCs/>
          <w:sz w:val="24"/>
          <w:szCs w:val="24"/>
        </w:rPr>
        <w:t>Nguyen, V., &amp; White, S. (2025). AI-powered arbitration.</w:t>
      </w:r>
      <w:bookmarkEnd w:id="490"/>
    </w:p>
    <w:p w14:paraId="01AA53A2"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91" w:name="_Toc221804647"/>
      <w:r>
        <w:rPr>
          <w:rFonts w:asciiTheme="majorBidi" w:hAnsiTheme="majorBidi" w:cstheme="majorBidi"/>
          <w:b w:val="0"/>
          <w:bCs/>
          <w:sz w:val="24"/>
          <w:szCs w:val="24"/>
        </w:rPr>
        <w:t xml:space="preserve">Rabinovich-Einy O and Katsh E, ‘Artificial Intelligence and the Future of Dispute Resolution’ in Abdel Wahab MS, Katsh E and Rainey D (eds), </w:t>
      </w:r>
      <w:r>
        <w:rPr>
          <w:rFonts w:asciiTheme="majorBidi" w:hAnsiTheme="majorBidi" w:cstheme="majorBidi"/>
          <w:b w:val="0"/>
          <w:bCs/>
          <w:i/>
          <w:iCs/>
          <w:sz w:val="24"/>
          <w:szCs w:val="24"/>
        </w:rPr>
        <w:t>Online Dispute Resolution: Theory and Practice</w:t>
      </w:r>
      <w:r>
        <w:rPr>
          <w:rFonts w:asciiTheme="majorBidi" w:hAnsiTheme="majorBidi" w:cstheme="majorBidi"/>
          <w:b w:val="0"/>
          <w:bCs/>
          <w:sz w:val="24"/>
          <w:szCs w:val="24"/>
        </w:rPr>
        <w:t xml:space="preserve"> (Eleven International Publishing 2021).</w:t>
      </w:r>
      <w:bookmarkEnd w:id="491"/>
    </w:p>
    <w:p w14:paraId="7E572AB1"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92" w:name="_Toc221804648"/>
      <w:r>
        <w:rPr>
          <w:rFonts w:asciiTheme="majorBidi" w:hAnsiTheme="majorBidi" w:cstheme="majorBidi"/>
          <w:b w:val="0"/>
          <w:bCs/>
          <w:sz w:val="24"/>
          <w:szCs w:val="24"/>
        </w:rPr>
        <w:t xml:space="preserve">Rule C, </w:t>
      </w:r>
      <w:r>
        <w:rPr>
          <w:rFonts w:asciiTheme="majorBidi" w:hAnsiTheme="majorBidi" w:cstheme="majorBidi"/>
          <w:b w:val="0"/>
          <w:bCs/>
          <w:i/>
          <w:iCs/>
          <w:sz w:val="24"/>
          <w:szCs w:val="24"/>
        </w:rPr>
        <w:t>Online Dispute Resolution for Business</w:t>
      </w:r>
      <w:r>
        <w:rPr>
          <w:rFonts w:asciiTheme="majorBidi" w:hAnsiTheme="majorBidi" w:cstheme="majorBidi"/>
          <w:b w:val="0"/>
          <w:bCs/>
          <w:sz w:val="24"/>
          <w:szCs w:val="24"/>
        </w:rPr>
        <w:t xml:space="preserve"> (Jossey-Bass 2002).</w:t>
      </w:r>
      <w:bookmarkEnd w:id="492"/>
    </w:p>
    <w:p w14:paraId="710DB505"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93" w:name="_Toc221804649"/>
      <w:r>
        <w:rPr>
          <w:rFonts w:asciiTheme="majorBidi" w:hAnsiTheme="majorBidi" w:cstheme="majorBidi"/>
          <w:b w:val="0"/>
          <w:bCs/>
          <w:sz w:val="24"/>
          <w:szCs w:val="24"/>
        </w:rPr>
        <w:t xml:space="preserve">Salter M and Mason J, </w:t>
      </w:r>
      <w:r>
        <w:rPr>
          <w:rFonts w:asciiTheme="majorBidi" w:hAnsiTheme="majorBidi" w:cstheme="majorBidi"/>
          <w:b w:val="0"/>
          <w:bCs/>
          <w:i/>
          <w:iCs/>
          <w:sz w:val="24"/>
          <w:szCs w:val="24"/>
        </w:rPr>
        <w:t>Writing Law Dissertations</w:t>
      </w:r>
      <w:r>
        <w:rPr>
          <w:rFonts w:asciiTheme="majorBidi" w:hAnsiTheme="majorBidi" w:cstheme="majorBidi"/>
          <w:b w:val="0"/>
          <w:bCs/>
          <w:sz w:val="24"/>
          <w:szCs w:val="24"/>
        </w:rPr>
        <w:t xml:space="preserve"> (Pearson 2013).</w:t>
      </w:r>
      <w:bookmarkEnd w:id="493"/>
    </w:p>
    <w:p w14:paraId="35E67BC6"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94" w:name="_Toc221804650"/>
      <w:r>
        <w:rPr>
          <w:rFonts w:asciiTheme="majorBidi" w:hAnsiTheme="majorBidi" w:cstheme="majorBidi"/>
          <w:b w:val="0"/>
          <w:bCs/>
          <w:sz w:val="24"/>
          <w:szCs w:val="24"/>
        </w:rPr>
        <w:t xml:space="preserve">Scherer M, ‘Artificial Intelligence and Legal Decision-Making’ (2019) 36(5) </w:t>
      </w:r>
      <w:r>
        <w:rPr>
          <w:rFonts w:asciiTheme="majorBidi" w:hAnsiTheme="majorBidi" w:cstheme="majorBidi"/>
          <w:b w:val="0"/>
          <w:bCs/>
          <w:i/>
          <w:iCs/>
          <w:sz w:val="24"/>
          <w:szCs w:val="24"/>
        </w:rPr>
        <w:t>Journal of International Arbitration</w:t>
      </w:r>
      <w:r>
        <w:rPr>
          <w:rFonts w:asciiTheme="majorBidi" w:hAnsiTheme="majorBidi" w:cstheme="majorBidi"/>
          <w:b w:val="0"/>
          <w:bCs/>
          <w:sz w:val="24"/>
          <w:szCs w:val="24"/>
        </w:rPr>
        <w:t xml:space="preserve"> 539.</w:t>
      </w:r>
      <w:bookmarkEnd w:id="494"/>
    </w:p>
    <w:p w14:paraId="6627379D"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95" w:name="_Toc221804651"/>
      <w:r>
        <w:rPr>
          <w:rFonts w:asciiTheme="majorBidi" w:hAnsiTheme="majorBidi" w:cstheme="majorBidi"/>
          <w:b w:val="0"/>
          <w:bCs/>
          <w:sz w:val="24"/>
          <w:szCs w:val="24"/>
        </w:rPr>
        <w:t xml:space="preserve">Schultz T and Ortino F, </w:t>
      </w:r>
      <w:r>
        <w:rPr>
          <w:rFonts w:asciiTheme="majorBidi" w:hAnsiTheme="majorBidi" w:cstheme="majorBidi"/>
          <w:b w:val="0"/>
          <w:bCs/>
          <w:i/>
          <w:iCs/>
          <w:sz w:val="24"/>
          <w:szCs w:val="24"/>
        </w:rPr>
        <w:t>The Oxford Handbook of International Arbitration</w:t>
      </w:r>
      <w:r>
        <w:rPr>
          <w:rFonts w:asciiTheme="majorBidi" w:hAnsiTheme="majorBidi" w:cstheme="majorBidi"/>
          <w:b w:val="0"/>
          <w:bCs/>
          <w:sz w:val="24"/>
          <w:szCs w:val="24"/>
        </w:rPr>
        <w:t xml:space="preserve"> (Oxford University Press 2020).</w:t>
      </w:r>
      <w:bookmarkEnd w:id="495"/>
    </w:p>
    <w:p w14:paraId="098D7654"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96" w:name="_Toc221804652"/>
      <w:r>
        <w:rPr>
          <w:rFonts w:asciiTheme="majorBidi" w:hAnsiTheme="majorBidi" w:cstheme="majorBidi"/>
          <w:b w:val="0"/>
          <w:bCs/>
          <w:sz w:val="24"/>
          <w:szCs w:val="24"/>
        </w:rPr>
        <w:t xml:space="preserve">UNCITRAL, </w:t>
      </w:r>
      <w:r>
        <w:rPr>
          <w:rFonts w:asciiTheme="majorBidi" w:hAnsiTheme="majorBidi" w:cstheme="majorBidi"/>
          <w:b w:val="0"/>
          <w:bCs/>
          <w:i/>
          <w:iCs/>
          <w:sz w:val="24"/>
          <w:szCs w:val="24"/>
        </w:rPr>
        <w:t>Model Law on International Commercial Arbitration</w:t>
      </w:r>
      <w:r>
        <w:rPr>
          <w:rFonts w:asciiTheme="majorBidi" w:hAnsiTheme="majorBidi" w:cstheme="majorBidi"/>
          <w:b w:val="0"/>
          <w:bCs/>
          <w:sz w:val="24"/>
          <w:szCs w:val="24"/>
        </w:rPr>
        <w:t>.</w:t>
      </w:r>
      <w:bookmarkEnd w:id="496"/>
    </w:p>
    <w:p w14:paraId="13012466"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97" w:name="_Toc221804653"/>
      <w:r>
        <w:rPr>
          <w:rFonts w:asciiTheme="majorBidi" w:hAnsiTheme="majorBidi" w:cstheme="majorBidi"/>
          <w:b w:val="0"/>
          <w:bCs/>
          <w:sz w:val="24"/>
          <w:szCs w:val="24"/>
        </w:rPr>
        <w:t xml:space="preserve">Wang FF, </w:t>
      </w:r>
      <w:r>
        <w:rPr>
          <w:rFonts w:asciiTheme="majorBidi" w:hAnsiTheme="majorBidi" w:cstheme="majorBidi"/>
          <w:b w:val="0"/>
          <w:bCs/>
          <w:i/>
          <w:iCs/>
          <w:sz w:val="24"/>
          <w:szCs w:val="24"/>
        </w:rPr>
        <w:t>Online Arbitration</w:t>
      </w:r>
      <w:r>
        <w:rPr>
          <w:rFonts w:asciiTheme="majorBidi" w:hAnsiTheme="majorBidi" w:cstheme="majorBidi"/>
          <w:b w:val="0"/>
          <w:bCs/>
          <w:sz w:val="24"/>
          <w:szCs w:val="24"/>
        </w:rPr>
        <w:t xml:space="preserve"> (Informa Law from Routledge 2017).</w:t>
      </w:r>
      <w:bookmarkEnd w:id="497"/>
    </w:p>
    <w:p w14:paraId="2DDE1328"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98" w:name="_Toc221804654"/>
      <w:r>
        <w:rPr>
          <w:rFonts w:asciiTheme="majorBidi" w:hAnsiTheme="majorBidi" w:cstheme="majorBidi"/>
          <w:b w:val="0"/>
          <w:bCs/>
          <w:sz w:val="24"/>
          <w:szCs w:val="24"/>
        </w:rPr>
        <w:t>Wilson, R. (2024). The impact of digital evidence on arbitration proceedings.</w:t>
      </w:r>
      <w:bookmarkEnd w:id="498"/>
    </w:p>
    <w:p w14:paraId="3B919E8D" w14:textId="77777777" w:rsidR="001C3391" w:rsidRPr="008819FD" w:rsidRDefault="001C3391" w:rsidP="00AE139B">
      <w:pPr>
        <w:pStyle w:val="Appendices"/>
        <w:spacing w:line="480" w:lineRule="auto"/>
        <w:rPr>
          <w:rFonts w:asciiTheme="majorBidi" w:hAnsiTheme="majorBidi" w:cstheme="majorBidi"/>
          <w:b w:val="0"/>
          <w:bCs/>
          <w:sz w:val="24"/>
          <w:szCs w:val="24"/>
        </w:rPr>
      </w:pPr>
      <w:bookmarkStart w:id="499" w:name="_Toc221804655"/>
      <w:r>
        <w:rPr>
          <w:rFonts w:asciiTheme="majorBidi" w:hAnsiTheme="majorBidi" w:cstheme="majorBidi"/>
          <w:b w:val="0"/>
          <w:bCs/>
          <w:sz w:val="24"/>
          <w:szCs w:val="24"/>
        </w:rPr>
        <w:lastRenderedPageBreak/>
        <w:t xml:space="preserve">Yuthayotin S, </w:t>
      </w:r>
      <w:r>
        <w:rPr>
          <w:rFonts w:asciiTheme="majorBidi" w:hAnsiTheme="majorBidi" w:cstheme="majorBidi"/>
          <w:b w:val="0"/>
          <w:bCs/>
          <w:i/>
          <w:iCs/>
          <w:sz w:val="24"/>
          <w:szCs w:val="24"/>
        </w:rPr>
        <w:t>Access to Justice in Transnational B2C E-Commerce</w:t>
      </w:r>
      <w:r>
        <w:rPr>
          <w:rFonts w:asciiTheme="majorBidi" w:hAnsiTheme="majorBidi" w:cstheme="majorBidi"/>
          <w:b w:val="0"/>
          <w:bCs/>
          <w:sz w:val="24"/>
          <w:szCs w:val="24"/>
        </w:rPr>
        <w:t xml:space="preserve"> (Springer 2015).</w:t>
      </w:r>
      <w:bookmarkEnd w:id="499"/>
    </w:p>
    <w:p w14:paraId="5C7C69D4" w14:textId="77777777" w:rsidR="005547BE" w:rsidRPr="008819FD" w:rsidRDefault="005547BE" w:rsidP="000030EC">
      <w:pPr>
        <w:pStyle w:val="Appendices"/>
        <w:rPr>
          <w:rFonts w:asciiTheme="majorBidi" w:hAnsiTheme="majorBidi" w:cstheme="majorBidi"/>
          <w:sz w:val="24"/>
          <w:szCs w:val="24"/>
        </w:rPr>
      </w:pPr>
    </w:p>
    <w:p w14:paraId="2BF4C55B" w14:textId="77777777" w:rsidR="00F073C0" w:rsidRPr="008819FD" w:rsidRDefault="00F073C0" w:rsidP="00C2531E">
      <w:pPr>
        <w:pStyle w:val="Appendices"/>
        <w:rPr>
          <w:rFonts w:asciiTheme="majorBidi" w:hAnsiTheme="majorBidi" w:cstheme="majorBidi"/>
          <w:sz w:val="24"/>
          <w:szCs w:val="24"/>
        </w:rPr>
      </w:pPr>
    </w:p>
    <w:p w14:paraId="6843F7A4" w14:textId="77777777" w:rsidR="00F073C0" w:rsidRPr="008819FD" w:rsidRDefault="00F073C0" w:rsidP="00C2531E">
      <w:pPr>
        <w:pStyle w:val="Appendices"/>
        <w:rPr>
          <w:rFonts w:asciiTheme="majorBidi" w:hAnsiTheme="majorBidi" w:cstheme="majorBidi"/>
          <w:sz w:val="24"/>
          <w:szCs w:val="24"/>
        </w:rPr>
      </w:pPr>
    </w:p>
    <w:p w14:paraId="128048A4" w14:textId="77777777" w:rsidR="00F073C0" w:rsidRPr="008819FD" w:rsidRDefault="00F073C0" w:rsidP="00C2531E">
      <w:pPr>
        <w:pStyle w:val="Appendices"/>
        <w:rPr>
          <w:rFonts w:asciiTheme="majorBidi" w:hAnsiTheme="majorBidi" w:cstheme="majorBidi"/>
          <w:sz w:val="24"/>
          <w:szCs w:val="24"/>
        </w:rPr>
      </w:pPr>
    </w:p>
    <w:p w14:paraId="5E6F6AEE" w14:textId="77777777" w:rsidR="00F073C0" w:rsidRPr="008819FD" w:rsidRDefault="00F073C0" w:rsidP="00C2531E">
      <w:pPr>
        <w:pStyle w:val="Appendices"/>
        <w:rPr>
          <w:rFonts w:asciiTheme="majorBidi" w:hAnsiTheme="majorBidi" w:cstheme="majorBidi"/>
          <w:sz w:val="24"/>
          <w:szCs w:val="24"/>
        </w:rPr>
      </w:pPr>
    </w:p>
    <w:p w14:paraId="736624DE" w14:textId="77777777" w:rsidR="00F073C0" w:rsidRPr="008819FD" w:rsidRDefault="00F073C0" w:rsidP="00C2531E">
      <w:pPr>
        <w:pStyle w:val="Appendices"/>
        <w:rPr>
          <w:rFonts w:asciiTheme="majorBidi" w:hAnsiTheme="majorBidi" w:cstheme="majorBidi"/>
          <w:sz w:val="24"/>
          <w:szCs w:val="24"/>
        </w:rPr>
      </w:pPr>
    </w:p>
    <w:p w14:paraId="30A154E1" w14:textId="77777777" w:rsidR="00F073C0" w:rsidRPr="008819FD" w:rsidRDefault="00F073C0" w:rsidP="00C2531E">
      <w:pPr>
        <w:pStyle w:val="Appendices"/>
        <w:rPr>
          <w:rFonts w:asciiTheme="majorBidi" w:hAnsiTheme="majorBidi" w:cstheme="majorBidi"/>
          <w:sz w:val="24"/>
          <w:szCs w:val="24"/>
        </w:rPr>
      </w:pPr>
    </w:p>
    <w:p w14:paraId="38421BDF" w14:textId="77777777" w:rsidR="00AE139B" w:rsidRPr="008819FD" w:rsidRDefault="00AE139B" w:rsidP="00C2531E">
      <w:pPr>
        <w:pStyle w:val="Appendices"/>
        <w:rPr>
          <w:rFonts w:asciiTheme="majorBidi" w:hAnsiTheme="majorBidi" w:cstheme="majorBidi"/>
          <w:sz w:val="24"/>
          <w:szCs w:val="24"/>
        </w:rPr>
      </w:pPr>
    </w:p>
    <w:p w14:paraId="5B341593" w14:textId="77777777" w:rsidR="00AE139B" w:rsidRPr="008819FD" w:rsidRDefault="00AE139B" w:rsidP="00C2531E">
      <w:pPr>
        <w:pStyle w:val="Appendices"/>
        <w:rPr>
          <w:rFonts w:asciiTheme="majorBidi" w:hAnsiTheme="majorBidi" w:cstheme="majorBidi"/>
          <w:sz w:val="24"/>
          <w:szCs w:val="24"/>
        </w:rPr>
      </w:pPr>
    </w:p>
    <w:p w14:paraId="782C80E4" w14:textId="77777777" w:rsidR="00AE139B" w:rsidRPr="008819FD" w:rsidRDefault="00AE139B" w:rsidP="00C2531E">
      <w:pPr>
        <w:pStyle w:val="Appendices"/>
        <w:rPr>
          <w:rFonts w:asciiTheme="majorBidi" w:hAnsiTheme="majorBidi" w:cstheme="majorBidi"/>
          <w:sz w:val="24"/>
          <w:szCs w:val="24"/>
        </w:rPr>
      </w:pPr>
    </w:p>
    <w:p w14:paraId="5E599886" w14:textId="77777777" w:rsidR="00F073C0" w:rsidRPr="008819FD" w:rsidRDefault="00F073C0" w:rsidP="00C2531E">
      <w:pPr>
        <w:pStyle w:val="Appendices"/>
        <w:rPr>
          <w:rFonts w:asciiTheme="majorBidi" w:hAnsiTheme="majorBidi" w:cstheme="majorBidi"/>
          <w:sz w:val="24"/>
          <w:szCs w:val="24"/>
        </w:rPr>
      </w:pPr>
    </w:p>
    <w:p w14:paraId="2E3D2386" w14:textId="77777777" w:rsidR="00F073C0" w:rsidRPr="008819FD" w:rsidRDefault="00F073C0" w:rsidP="00C2531E">
      <w:pPr>
        <w:pStyle w:val="Appendices"/>
        <w:rPr>
          <w:rFonts w:asciiTheme="majorBidi" w:hAnsiTheme="majorBidi" w:cstheme="majorBidi"/>
          <w:sz w:val="24"/>
          <w:szCs w:val="24"/>
        </w:rPr>
      </w:pPr>
    </w:p>
    <w:p w14:paraId="7A889328" w14:textId="77777777" w:rsidR="00F073C0" w:rsidRPr="008819FD" w:rsidRDefault="00F073C0" w:rsidP="00664877">
      <w:pPr>
        <w:pStyle w:val="Appendices"/>
        <w:ind w:firstLine="720"/>
        <w:rPr>
          <w:rFonts w:asciiTheme="majorBidi" w:hAnsiTheme="majorBidi" w:cstheme="majorBidi"/>
          <w:sz w:val="24"/>
          <w:szCs w:val="24"/>
        </w:rPr>
      </w:pPr>
      <w:bookmarkStart w:id="500" w:name="_Toc221804656"/>
      <w:r>
        <w:rPr>
          <w:rFonts w:asciiTheme="majorBidi" w:hAnsiTheme="majorBidi" w:cstheme="majorBidi"/>
          <w:sz w:val="24"/>
          <w:szCs w:val="24"/>
        </w:rPr>
        <w:t>Appendices</w:t>
      </w:r>
      <w:bookmarkEnd w:id="500"/>
    </w:p>
    <w:p w14:paraId="648270AC" w14:textId="77777777" w:rsidR="00F073C0" w:rsidRDefault="00F073C0" w:rsidP="00664877">
      <w:pPr>
        <w:pStyle w:val="Appendix"/>
        <w:ind w:firstLine="720"/>
        <w:rPr>
          <w:rFonts w:asciiTheme="majorBidi" w:hAnsiTheme="majorBidi" w:cstheme="majorBidi"/>
          <w:bCs/>
          <w:lang w:val="en" w:bidi="ar-AE"/>
        </w:rPr>
      </w:pPr>
      <w:bookmarkStart w:id="501" w:name="_Toc221804657"/>
      <w:r>
        <w:rPr>
          <w:rFonts w:asciiTheme="majorBidi" w:hAnsiTheme="majorBidi" w:cstheme="majorBidi"/>
        </w:rPr>
        <w:t xml:space="preserve">Appendix </w:t>
      </w:r>
      <w:r>
        <w:rPr>
          <w:rFonts w:asciiTheme="majorBidi" w:hAnsiTheme="majorBidi" w:cstheme="majorBidi"/>
          <w:bCs/>
          <w:lang w:val="en" w:bidi="ar-AE"/>
        </w:rPr>
        <w:t>Interview</w:t>
      </w:r>
      <w:bookmarkEnd w:id="501"/>
    </w:p>
    <w:p w14:paraId="7B295C29" w14:textId="77777777" w:rsidR="001E2E1A" w:rsidRPr="008819FD" w:rsidRDefault="001E2E1A" w:rsidP="00664877">
      <w:pPr>
        <w:pStyle w:val="Appendix"/>
        <w:ind w:firstLine="720"/>
        <w:rPr>
          <w:rFonts w:asciiTheme="majorBidi" w:hAnsiTheme="majorBidi" w:cstheme="majorBidi"/>
        </w:rPr>
      </w:pPr>
    </w:p>
    <w:p w14:paraId="7CC17D63" w14:textId="77777777" w:rsidR="00F073C0" w:rsidRPr="008819FD" w:rsidRDefault="00F073C0" w:rsidP="00664877">
      <w:pPr>
        <w:spacing w:after="0" w:line="480" w:lineRule="auto"/>
        <w:ind w:firstLine="720"/>
        <w:rPr>
          <w:rFonts w:asciiTheme="majorBidi" w:eastAsia="Times New Roman" w:hAnsiTheme="majorBidi" w:cstheme="majorBidi"/>
          <w:b/>
          <w:bCs/>
          <w:lang w:val="en-GB"/>
        </w:rPr>
      </w:pPr>
      <w:r>
        <w:rPr>
          <w:rFonts w:asciiTheme="majorBidi" w:eastAsia="Times New Roman" w:hAnsiTheme="majorBidi" w:cstheme="majorBidi"/>
          <w:b/>
          <w:bCs/>
          <w:lang w:val="en-GB"/>
        </w:rPr>
        <w:t>Dear Participant,</w:t>
      </w:r>
    </w:p>
    <w:p w14:paraId="25F43FC5" w14:textId="77777777" w:rsidR="00F073C0" w:rsidRPr="008819FD" w:rsidRDefault="00F073C0" w:rsidP="00664877">
      <w:pPr>
        <w:spacing w:after="0" w:line="480" w:lineRule="auto"/>
        <w:ind w:firstLine="720"/>
        <w:rPr>
          <w:rFonts w:asciiTheme="majorBidi" w:eastAsia="Times New Roman" w:hAnsiTheme="majorBidi" w:cstheme="majorBidi"/>
          <w:lang w:val="en-GB"/>
        </w:rPr>
      </w:pPr>
      <w:r>
        <w:rPr>
          <w:rFonts w:asciiTheme="majorBidi" w:eastAsia="Times New Roman" w:hAnsiTheme="majorBidi" w:cstheme="majorBidi"/>
          <w:lang w:val="en-GB"/>
        </w:rPr>
        <w:t>This interview is intended to collect information for a doctorate study entitled “Online Commercial Arbitration in the United Arab Emirates: The need for Legal Regulations “and your feedback would help me a lot in fulfilling my research.</w:t>
      </w:r>
    </w:p>
    <w:p w14:paraId="263F2556" w14:textId="77777777" w:rsidR="00F073C0" w:rsidRPr="008819FD" w:rsidRDefault="00F073C0" w:rsidP="00664877">
      <w:pPr>
        <w:spacing w:after="0" w:line="480" w:lineRule="auto"/>
        <w:ind w:firstLine="720"/>
        <w:rPr>
          <w:rFonts w:asciiTheme="majorBidi" w:eastAsia="Times New Roman" w:hAnsiTheme="majorBidi" w:cstheme="majorBidi"/>
          <w:lang w:val="en-GB"/>
        </w:rPr>
      </w:pPr>
      <w:r>
        <w:rPr>
          <w:rFonts w:asciiTheme="majorBidi" w:eastAsia="Times New Roman" w:hAnsiTheme="majorBidi" w:cstheme="majorBidi"/>
          <w:lang w:val="en-GB"/>
        </w:rPr>
        <w:t xml:space="preserve">I would like to thank you for taking the time to participate in this </w:t>
      </w:r>
      <w:r>
        <w:rPr>
          <w:rFonts w:asciiTheme="majorBidi" w:eastAsia="Times New Roman" w:hAnsiTheme="majorBidi" w:cstheme="majorBidi"/>
          <w:b/>
          <w:bCs/>
          <w:u w:val="single"/>
          <w:lang w:val="en-GB"/>
        </w:rPr>
        <w:t>Interview</w:t>
      </w:r>
      <w:r>
        <w:rPr>
          <w:rFonts w:asciiTheme="majorBidi" w:eastAsia="Times New Roman" w:hAnsiTheme="majorBidi" w:cstheme="majorBidi"/>
          <w:lang w:val="en-GB"/>
        </w:rPr>
        <w:t>. Your input is valuable in helping us gather insights and information for our research. The purpose of this questionnaire is to gather data and opinions on a specific topic, allowing us to better understand trends, preferences, and attitudes within the given subject.</w:t>
      </w:r>
    </w:p>
    <w:p w14:paraId="5F8813A1" w14:textId="77777777" w:rsidR="00F073C0" w:rsidRPr="008819FD" w:rsidRDefault="00F073C0" w:rsidP="00664877">
      <w:pPr>
        <w:spacing w:after="0" w:line="480" w:lineRule="auto"/>
        <w:ind w:firstLine="720"/>
        <w:rPr>
          <w:rFonts w:asciiTheme="majorBidi" w:eastAsia="Times New Roman" w:hAnsiTheme="majorBidi" w:cstheme="majorBidi"/>
          <w:lang w:val="en-GB"/>
        </w:rPr>
      </w:pPr>
      <w:r>
        <w:rPr>
          <w:rFonts w:asciiTheme="majorBidi" w:eastAsia="Times New Roman" w:hAnsiTheme="majorBidi" w:cstheme="majorBidi"/>
          <w:lang w:val="en-GB"/>
        </w:rPr>
        <w:lastRenderedPageBreak/>
        <w:t>Please note that your responses will remain completely anonymous and confidential. The data collected will be used solely for research purposes and will be reported in aggregate form, ensuring that no individual participant can be identified.</w:t>
      </w:r>
    </w:p>
    <w:p w14:paraId="0265FAF5" w14:textId="77777777" w:rsidR="00F073C0" w:rsidRPr="008819FD" w:rsidRDefault="00F073C0" w:rsidP="00664877">
      <w:pPr>
        <w:spacing w:after="0" w:line="480" w:lineRule="auto"/>
        <w:ind w:firstLine="720"/>
        <w:rPr>
          <w:rFonts w:asciiTheme="majorBidi" w:eastAsia="Times New Roman" w:hAnsiTheme="majorBidi" w:cstheme="majorBidi"/>
          <w:lang w:val="en-GB"/>
        </w:rPr>
      </w:pPr>
      <w:r>
        <w:rPr>
          <w:rFonts w:asciiTheme="majorBidi" w:eastAsia="Times New Roman" w:hAnsiTheme="majorBidi" w:cstheme="majorBidi"/>
          <w:lang w:val="en-GB"/>
        </w:rPr>
        <w:t xml:space="preserve">We kindly ask you to answer the following questions to the best of your ability. </w:t>
      </w:r>
    </w:p>
    <w:p w14:paraId="1D5938F6" w14:textId="77777777" w:rsidR="00F073C0" w:rsidRPr="008819FD" w:rsidRDefault="00F073C0" w:rsidP="00664877">
      <w:pPr>
        <w:spacing w:after="0" w:line="480" w:lineRule="auto"/>
        <w:ind w:firstLine="720"/>
        <w:rPr>
          <w:rFonts w:asciiTheme="majorBidi" w:eastAsia="Times New Roman" w:hAnsiTheme="majorBidi" w:cstheme="majorBidi"/>
          <w:lang w:val="en-GB"/>
        </w:rPr>
      </w:pPr>
      <w:r>
        <w:rPr>
          <w:rFonts w:asciiTheme="majorBidi" w:eastAsia="Times New Roman" w:hAnsiTheme="majorBidi" w:cstheme="majorBidi"/>
          <w:lang w:val="en-GB"/>
        </w:rPr>
        <w:t>There are no right or wrong answers; we are interested in your honest opinions and experiences. Feel free to skip any question that you do not wish to answer.</w:t>
      </w:r>
    </w:p>
    <w:p w14:paraId="02EAF271" w14:textId="77777777" w:rsidR="00F073C0" w:rsidRPr="008819FD" w:rsidRDefault="00F073C0" w:rsidP="00664877">
      <w:pPr>
        <w:spacing w:after="0" w:line="480" w:lineRule="auto"/>
        <w:ind w:firstLine="720"/>
        <w:rPr>
          <w:rFonts w:asciiTheme="majorBidi" w:eastAsia="Times New Roman" w:hAnsiTheme="majorBidi" w:cstheme="majorBidi"/>
          <w:rtl/>
          <w:lang w:val="en-GB"/>
        </w:rPr>
      </w:pPr>
      <w:r>
        <w:rPr>
          <w:rFonts w:asciiTheme="majorBidi" w:eastAsia="Times New Roman" w:hAnsiTheme="majorBidi" w:cstheme="majorBidi"/>
          <w:lang w:val="en-GB"/>
        </w:rPr>
        <w:t>Thank you once again for your participation. Your input is highly appreciated and will contribute to valuable insights.</w:t>
      </w:r>
      <w:r>
        <w:rPr>
          <w:rFonts w:asciiTheme="majorBidi" w:eastAsia="Times New Roman" w:hAnsiTheme="majorBidi" w:cstheme="majorBidi"/>
          <w:rtl/>
          <w:lang w:val="en-GB"/>
        </w:rPr>
        <w:t xml:space="preserve"> </w:t>
      </w:r>
      <w:r>
        <w:rPr>
          <w:rFonts w:asciiTheme="majorBidi" w:eastAsia="Times New Roman" w:hAnsiTheme="majorBidi" w:cstheme="majorBidi"/>
          <w:lang w:val="en-GB"/>
        </w:rPr>
        <w:t>If you prefer any other electronic or otherwise to participate feel free to contact me on +971529434000</w:t>
      </w:r>
    </w:p>
    <w:p w14:paraId="0A637E98" w14:textId="77777777" w:rsidR="00F073C0" w:rsidRPr="008819FD" w:rsidRDefault="00F073C0" w:rsidP="00C2531E">
      <w:pPr>
        <w:spacing w:after="0" w:line="480" w:lineRule="auto"/>
        <w:rPr>
          <w:rFonts w:asciiTheme="majorBidi" w:eastAsia="Times New Roman" w:hAnsiTheme="majorBidi" w:cstheme="majorBidi"/>
          <w:b/>
          <w:bCs/>
          <w:color w:val="1F1F1F"/>
          <w:rtl/>
        </w:rPr>
      </w:pPr>
    </w:p>
    <w:p w14:paraId="25FC40C6" w14:textId="77777777" w:rsidR="00F073C0" w:rsidRPr="008819FD" w:rsidRDefault="00F073C0" w:rsidP="00C2531E">
      <w:pPr>
        <w:spacing w:after="160" w:line="480" w:lineRule="auto"/>
        <w:rPr>
          <w:rFonts w:asciiTheme="majorBidi" w:hAnsiTheme="majorBidi" w:cstheme="majorBidi"/>
        </w:rPr>
      </w:pPr>
      <w:r>
        <w:rPr>
          <w:rFonts w:asciiTheme="majorBidi" w:hAnsiTheme="majorBidi" w:cstheme="majorBidi"/>
          <w:noProof/>
        </w:rPr>
        <w:lastRenderedPageBreak/>
        <w:drawing>
          <wp:inline distT="0" distB="0" distL="0" distR="0" wp14:anchorId="378A8EEA" wp14:editId="59997EBF">
            <wp:extent cx="5791835" cy="8077200"/>
            <wp:effectExtent l="0" t="0" r="0" b="0"/>
            <wp:docPr id="487454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91835" cy="8077200"/>
                    </a:xfrm>
                    <a:prstGeom prst="rect">
                      <a:avLst/>
                    </a:prstGeom>
                    <a:noFill/>
                    <a:ln>
                      <a:noFill/>
                    </a:ln>
                  </pic:spPr>
                </pic:pic>
              </a:graphicData>
            </a:graphic>
          </wp:inline>
        </w:drawing>
      </w:r>
    </w:p>
    <w:p w14:paraId="594DB533" w14:textId="77777777" w:rsidR="00F073C0" w:rsidRPr="008819FD" w:rsidRDefault="00F073C0" w:rsidP="00C2531E">
      <w:pPr>
        <w:rPr>
          <w:rFonts w:asciiTheme="majorBidi" w:hAnsiTheme="majorBidi" w:cstheme="majorBidi"/>
          <w:lang w:bidi="ar-AE"/>
        </w:rPr>
      </w:pPr>
      <w:r>
        <w:rPr>
          <w:rFonts w:asciiTheme="majorBidi" w:hAnsiTheme="majorBidi" w:cstheme="majorBidi"/>
          <w:noProof/>
        </w:rPr>
        <w:lastRenderedPageBreak/>
        <w:drawing>
          <wp:inline distT="0" distB="0" distL="0" distR="0" wp14:anchorId="70A05A1F" wp14:editId="52AE5750">
            <wp:extent cx="5791835" cy="7284720"/>
            <wp:effectExtent l="0" t="0" r="0" b="0"/>
            <wp:docPr id="13683600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91835" cy="7284720"/>
                    </a:xfrm>
                    <a:prstGeom prst="rect">
                      <a:avLst/>
                    </a:prstGeom>
                    <a:noFill/>
                    <a:ln>
                      <a:noFill/>
                    </a:ln>
                  </pic:spPr>
                </pic:pic>
              </a:graphicData>
            </a:graphic>
          </wp:inline>
        </w:drawing>
      </w:r>
    </w:p>
    <w:p w14:paraId="152D48D9" w14:textId="77777777" w:rsidR="00F073C0" w:rsidRPr="008819FD" w:rsidRDefault="00F073C0" w:rsidP="00C2531E">
      <w:pPr>
        <w:spacing w:before="0" w:after="160" w:line="259" w:lineRule="auto"/>
        <w:rPr>
          <w:rFonts w:asciiTheme="majorBidi" w:hAnsiTheme="majorBidi" w:cstheme="majorBidi"/>
          <w:lang w:bidi="ar-AE"/>
        </w:rPr>
      </w:pPr>
      <w:r>
        <w:rPr>
          <w:rFonts w:asciiTheme="majorBidi" w:hAnsiTheme="majorBidi" w:cstheme="majorBidi"/>
          <w:noProof/>
        </w:rPr>
        <w:lastRenderedPageBreak/>
        <w:drawing>
          <wp:inline distT="0" distB="0" distL="0" distR="0" wp14:anchorId="0558823D" wp14:editId="2F892066">
            <wp:extent cx="5791200" cy="7882255"/>
            <wp:effectExtent l="0" t="0" r="0" b="0"/>
            <wp:docPr id="13000090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91200" cy="7882255"/>
                    </a:xfrm>
                    <a:prstGeom prst="rect">
                      <a:avLst/>
                    </a:prstGeom>
                    <a:noFill/>
                    <a:ln>
                      <a:noFill/>
                    </a:ln>
                  </pic:spPr>
                </pic:pic>
              </a:graphicData>
            </a:graphic>
          </wp:inline>
        </w:drawing>
      </w:r>
      <w:r>
        <w:rPr>
          <w:rFonts w:asciiTheme="majorBidi" w:hAnsiTheme="majorBidi" w:cstheme="majorBidi"/>
          <w:noProof/>
        </w:rPr>
        <w:lastRenderedPageBreak/>
        <w:drawing>
          <wp:inline distT="0" distB="0" distL="0" distR="0" wp14:anchorId="3AACB269" wp14:editId="0E453951">
            <wp:extent cx="5791835" cy="7771765"/>
            <wp:effectExtent l="0" t="0" r="0" b="0"/>
            <wp:docPr id="18140281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91835" cy="7771765"/>
                    </a:xfrm>
                    <a:prstGeom prst="rect">
                      <a:avLst/>
                    </a:prstGeom>
                    <a:noFill/>
                    <a:ln>
                      <a:noFill/>
                    </a:ln>
                  </pic:spPr>
                </pic:pic>
              </a:graphicData>
            </a:graphic>
          </wp:inline>
        </w:drawing>
      </w:r>
    </w:p>
    <w:p w14:paraId="05506A6D" w14:textId="77777777" w:rsidR="00F073C0" w:rsidRPr="008819FD" w:rsidRDefault="00F073C0" w:rsidP="00C2531E">
      <w:pPr>
        <w:pStyle w:val="Appendix"/>
        <w:rPr>
          <w:rFonts w:asciiTheme="majorBidi" w:hAnsiTheme="majorBidi" w:cstheme="majorBidi"/>
        </w:rPr>
      </w:pPr>
      <w:bookmarkStart w:id="502" w:name="_Toc219753433"/>
      <w:bookmarkStart w:id="503" w:name="_Toc221804658"/>
      <w:r>
        <w:rPr>
          <w:rFonts w:asciiTheme="majorBidi" w:hAnsiTheme="majorBidi" w:cstheme="majorBidi"/>
          <w:noProof/>
        </w:rPr>
        <w:lastRenderedPageBreak/>
        <w:drawing>
          <wp:inline distT="0" distB="0" distL="0" distR="0" wp14:anchorId="10B4A3BB" wp14:editId="7CFA0576">
            <wp:extent cx="5900678" cy="5061857"/>
            <wp:effectExtent l="0" t="0" r="5080" b="5715"/>
            <wp:docPr id="1193027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27811" name=""/>
                    <pic:cNvPicPr/>
                  </pic:nvPicPr>
                  <pic:blipFill>
                    <a:blip r:embed="rId31"/>
                    <a:stretch>
                      <a:fillRect/>
                    </a:stretch>
                  </pic:blipFill>
                  <pic:spPr>
                    <a:xfrm>
                      <a:off x="0" y="0"/>
                      <a:ext cx="5907616" cy="5067808"/>
                    </a:xfrm>
                    <a:prstGeom prst="rect">
                      <a:avLst/>
                    </a:prstGeom>
                  </pic:spPr>
                </pic:pic>
              </a:graphicData>
            </a:graphic>
          </wp:inline>
        </w:drawing>
      </w:r>
      <w:bookmarkEnd w:id="502"/>
      <w:bookmarkEnd w:id="503"/>
    </w:p>
    <w:p w14:paraId="790F96E9" w14:textId="77777777" w:rsidR="00F073C0" w:rsidRPr="008819FD" w:rsidRDefault="00F073C0" w:rsidP="00C2531E">
      <w:pPr>
        <w:pStyle w:val="Appendix"/>
        <w:rPr>
          <w:rFonts w:asciiTheme="majorBidi" w:hAnsiTheme="majorBidi" w:cstheme="majorBidi"/>
        </w:rPr>
      </w:pPr>
    </w:p>
    <w:p w14:paraId="661D5524" w14:textId="77777777" w:rsidR="008540CA" w:rsidRPr="008819FD" w:rsidRDefault="008540CA" w:rsidP="00C2531E">
      <w:pPr>
        <w:rPr>
          <w:rFonts w:asciiTheme="majorBidi" w:hAnsiTheme="majorBidi" w:cstheme="majorBidi"/>
        </w:rPr>
      </w:pPr>
    </w:p>
    <w:sectPr w:rsidR="008540CA" w:rsidRPr="008819FD" w:rsidSect="00AB2246">
      <w:headerReference w:type="default" r:id="rId32"/>
      <w:footerReference w:type="default" r:id="rId33"/>
      <w:pgSz w:w="12240" w:h="15840"/>
      <w:pgMar w:top="1701" w:right="1701"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E5808" w14:textId="77777777" w:rsidR="00CC217E" w:rsidRDefault="00CC217E" w:rsidP="00CD7913">
      <w:pPr>
        <w:spacing w:before="0" w:after="0" w:line="240" w:lineRule="auto"/>
      </w:pPr>
      <w:r>
        <w:separator/>
      </w:r>
    </w:p>
  </w:endnote>
  <w:endnote w:type="continuationSeparator" w:id="0">
    <w:p w14:paraId="2D764193" w14:textId="77777777" w:rsidR="00CC217E" w:rsidRDefault="00CC217E" w:rsidP="00CD79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26376" w14:textId="77777777" w:rsidR="00CD0E06" w:rsidRDefault="00CD0E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133CA" w14:textId="77777777" w:rsidR="00CD0E06" w:rsidRDefault="00CD0E06" w:rsidP="00D45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C5448B" w14:textId="77777777" w:rsidR="00CC217E" w:rsidRDefault="00CC217E" w:rsidP="00CD7913">
      <w:pPr>
        <w:spacing w:before="0" w:after="0" w:line="240" w:lineRule="auto"/>
      </w:pPr>
      <w:r>
        <w:separator/>
      </w:r>
    </w:p>
  </w:footnote>
  <w:footnote w:type="continuationSeparator" w:id="0">
    <w:p w14:paraId="45A28D0C" w14:textId="77777777" w:rsidR="00CC217E" w:rsidRDefault="00CC217E" w:rsidP="00CD7913">
      <w:pPr>
        <w:spacing w:before="0" w:after="0" w:line="240" w:lineRule="auto"/>
      </w:pPr>
      <w:r>
        <w:continuationSeparator/>
      </w:r>
    </w:p>
  </w:footnote>
  <w:footnote w:id="1">
    <w:p w14:paraId="43525216" w14:textId="77777777" w:rsidR="00CD0E06" w:rsidRPr="009D2CC5" w:rsidRDefault="00CD0E06" w:rsidP="00F073C0">
      <w:pPr>
        <w:pStyle w:val="FootnoteText"/>
      </w:pPr>
      <w:r>
        <w:rPr>
          <w:rStyle w:val="FootnoteReference"/>
        </w:rPr>
        <w:footnoteRef/>
      </w:r>
      <w:r>
        <w:t xml:space="preserve"> </w:t>
      </w:r>
      <w:r w:rsidRPr="009D2CC5">
        <w:t xml:space="preserve"> </w:t>
      </w:r>
      <w:r w:rsidRPr="00D1107F">
        <w:t>Magd, Hesham, and Ayyappan Palanissamy. "E-commerce Disputes and Digital Justice Platforms--A Developmental Perspective." Global Business &amp; Management Research 13.3 (2021).</w:t>
      </w:r>
    </w:p>
  </w:footnote>
  <w:footnote w:id="2">
    <w:p w14:paraId="4823F5FA" w14:textId="77777777" w:rsidR="00CD0E06" w:rsidRPr="009D2CC5" w:rsidRDefault="00CD0E06" w:rsidP="00F073C0">
      <w:pPr>
        <w:pStyle w:val="FootnoteText"/>
        <w:rPr>
          <w:lang w:val="en-US"/>
        </w:rPr>
      </w:pPr>
      <w:r>
        <w:rPr>
          <w:rStyle w:val="FootnoteReference"/>
        </w:rPr>
        <w:footnoteRef/>
      </w:r>
      <w:r>
        <w:t xml:space="preserve"> </w:t>
      </w:r>
      <w:r w:rsidRPr="009D2CC5">
        <w:rPr>
          <w:lang w:val="en-US"/>
        </w:rPr>
        <w:t>Tamimi. (2024). Breaking: UAE Ushers in Changes to the Arbitration Law. Retrieved April 03, 2024, from https://www.tamimi.com/news/breaking-uae-ushers-in-changes-to-the-arbitration-law/</w:t>
      </w:r>
    </w:p>
  </w:footnote>
  <w:footnote w:id="3">
    <w:p w14:paraId="26A04573" w14:textId="77777777" w:rsidR="00CD0E06" w:rsidRPr="009D2CC5" w:rsidRDefault="00CD0E06" w:rsidP="00F073C0">
      <w:pPr>
        <w:pStyle w:val="FootnoteText"/>
      </w:pPr>
      <w:r>
        <w:rPr>
          <w:rStyle w:val="FootnoteReference"/>
        </w:rPr>
        <w:footnoteRef/>
      </w:r>
      <w:r>
        <w:t xml:space="preserve"> </w:t>
      </w:r>
      <w:r w:rsidRPr="009D2CC5">
        <w:t>Ahmed, S., &amp; Foster, L. (2025). Cybersecurity and confidentiality in online arbitration: A global perspective. International Arbitration Journal, 42(3), 245-267.</w:t>
      </w:r>
    </w:p>
  </w:footnote>
  <w:footnote w:id="4">
    <w:p w14:paraId="6D950725" w14:textId="77777777" w:rsidR="00CD0E06" w:rsidRPr="009D2CC5" w:rsidRDefault="00CD0E06" w:rsidP="00F073C0">
      <w:pPr>
        <w:pStyle w:val="FootnoteText"/>
      </w:pPr>
      <w:r>
        <w:rPr>
          <w:rStyle w:val="FootnoteReference"/>
        </w:rPr>
        <w:footnoteRef/>
      </w:r>
      <w:r>
        <w:t xml:space="preserve"> </w:t>
      </w:r>
      <w:r w:rsidRPr="009D2CC5">
        <w:t>Al Tamimi, E. (2021). Practical guide to litigation and arbitration in the United Arab Emirates: A detailed guide to litigation and arbitration in the United Arab Emirates based on federal laws, laws specific to the individual Emirates, judgments delivered by the Court of Cass. Brill</w:t>
      </w:r>
      <w:r>
        <w:t xml:space="preserve"> p95.</w:t>
      </w:r>
    </w:p>
  </w:footnote>
  <w:footnote w:id="5">
    <w:p w14:paraId="09400364" w14:textId="77777777" w:rsidR="00CD0E06" w:rsidRPr="009D2CC5" w:rsidRDefault="00CD0E06" w:rsidP="00F073C0">
      <w:pPr>
        <w:pStyle w:val="FootnoteText"/>
      </w:pPr>
      <w:r>
        <w:rPr>
          <w:rStyle w:val="FootnoteReference"/>
        </w:rPr>
        <w:footnoteRef/>
      </w:r>
      <w:r>
        <w:t xml:space="preserve"> </w:t>
      </w:r>
      <w:r w:rsidRPr="009D2CC5">
        <w:t xml:space="preserve">ALKETBI, H. (2021). Arbitrators Appointment: Process, Challenges and Remedies </w:t>
      </w:r>
      <w:r w:rsidRPr="000A2759">
        <w:t>(</w:t>
      </w:r>
      <w:r>
        <w:rPr>
          <w:lang w:val="en-US"/>
        </w:rPr>
        <w:t>MSc Construction law and dispute resolution</w:t>
      </w:r>
      <w:r w:rsidRPr="00C95AB8">
        <w:t xml:space="preserve"> dissertation</w:t>
      </w:r>
      <w:r w:rsidRPr="009D2CC5">
        <w:t>. The British University in Dubai (BUiD)), 1(1), 14</w:t>
      </w:r>
    </w:p>
  </w:footnote>
  <w:footnote w:id="6">
    <w:p w14:paraId="77CECAFF" w14:textId="77777777" w:rsidR="00CD0E06" w:rsidRPr="009D2CC5" w:rsidRDefault="00CD0E06" w:rsidP="00F073C0">
      <w:pPr>
        <w:pStyle w:val="FootnoteText"/>
      </w:pPr>
      <w:r>
        <w:rPr>
          <w:rStyle w:val="FootnoteReference"/>
        </w:rPr>
        <w:footnoteRef/>
      </w:r>
      <w:r>
        <w:t xml:space="preserve"> </w:t>
      </w:r>
      <w:r w:rsidRPr="00483ED6">
        <w:rPr>
          <w:lang w:val="en-US"/>
        </w:rPr>
        <w:t>Al Hamed, M. A. (2017). </w:t>
      </w:r>
      <w:r w:rsidRPr="00483ED6">
        <w:rPr>
          <w:i/>
          <w:iCs/>
          <w:lang w:val="en-US"/>
        </w:rPr>
        <w:t>Electronic arbitration as a solution for electronic commerce dispute resolution in the United Arab Emirates: obstacles and enforceability challenges</w:t>
      </w:r>
      <w:r w:rsidRPr="00483ED6">
        <w:rPr>
          <w:lang w:val="en-US"/>
        </w:rPr>
        <w:t> (Doctoral dissertation, University of Gloucestershire</w:t>
      </w:r>
      <w:r>
        <w:rPr>
          <w:lang w:val="en-US"/>
        </w:rPr>
        <w:t>)</w:t>
      </w:r>
    </w:p>
  </w:footnote>
  <w:footnote w:id="7">
    <w:p w14:paraId="534E9744" w14:textId="77777777" w:rsidR="00CD0E06" w:rsidRPr="009D2CC5" w:rsidRDefault="00CD0E06" w:rsidP="00F073C0">
      <w:pPr>
        <w:pStyle w:val="FootnoteText"/>
      </w:pPr>
      <w:r>
        <w:rPr>
          <w:rStyle w:val="FootnoteReference"/>
        </w:rPr>
        <w:footnoteRef/>
      </w:r>
      <w:r>
        <w:t xml:space="preserve"> </w:t>
      </w:r>
      <w:r w:rsidRPr="00F2235B">
        <w:t>Clark J and Foster E, ‘Virtual Hearings and Due Process Concerns in Online Arbitration’ (2022) 33(5) Arbitration Law Journal 267.</w:t>
      </w:r>
    </w:p>
  </w:footnote>
  <w:footnote w:id="8">
    <w:p w14:paraId="090DE4A6" w14:textId="77777777" w:rsidR="00CD0E06" w:rsidRDefault="00CD0E06" w:rsidP="00F073C0">
      <w:pPr>
        <w:pStyle w:val="FootnoteText"/>
        <w:rPr>
          <w:lang w:val="en-US"/>
        </w:rPr>
      </w:pPr>
      <w:r>
        <w:rPr>
          <w:rStyle w:val="FootnoteReference"/>
        </w:rPr>
        <w:footnoteRef/>
      </w:r>
      <w:r>
        <w:t xml:space="preserve"> </w:t>
      </w:r>
      <w:r w:rsidRPr="009D2CC5">
        <w:rPr>
          <w:lang w:val="en-US"/>
        </w:rPr>
        <w:t>Clark, J., &amp; Foster, E. (2022). Virtual hearings and due process concerns in online arbitration. Arbitration Law Journal, 33(5), 267-290.</w:t>
      </w:r>
    </w:p>
    <w:p w14:paraId="750958B8" w14:textId="77777777" w:rsidR="00CD0E06" w:rsidRPr="009D2CC5" w:rsidRDefault="00CD0E06" w:rsidP="00F073C0">
      <w:pPr>
        <w:pStyle w:val="FootnoteText"/>
        <w:rPr>
          <w:lang w:val="en-US"/>
        </w:rPr>
      </w:pPr>
    </w:p>
  </w:footnote>
  <w:footnote w:id="9">
    <w:p w14:paraId="029D6F54" w14:textId="77777777" w:rsidR="00CD0E06" w:rsidRPr="00187C7B" w:rsidRDefault="00CD0E06" w:rsidP="00F073C0">
      <w:pPr>
        <w:pStyle w:val="FootnoteText"/>
      </w:pPr>
      <w:r>
        <w:rPr>
          <w:rStyle w:val="FootnoteReference"/>
        </w:rPr>
        <w:footnoteRef/>
      </w:r>
      <w:r>
        <w:t xml:space="preserve"> Odom</w:t>
      </w:r>
      <w:r w:rsidRPr="00CA55F7">
        <w:t>, Jonathan G. "The Value and Viability of the South China Sea Arbitration Ruling: The US Perspective 2016–2020." International Law Studies 97.1 (2021): 16.</w:t>
      </w:r>
    </w:p>
  </w:footnote>
  <w:footnote w:id="10">
    <w:p w14:paraId="6CC48CF4" w14:textId="77777777" w:rsidR="00CD0E06" w:rsidRPr="00187C7B" w:rsidRDefault="00CD0E06" w:rsidP="00F073C0">
      <w:pPr>
        <w:pStyle w:val="FootnoteText"/>
      </w:pPr>
      <w:r>
        <w:rPr>
          <w:rStyle w:val="FootnoteReference"/>
        </w:rPr>
        <w:footnoteRef/>
      </w:r>
      <w:r>
        <w:t xml:space="preserve"> </w:t>
      </w:r>
      <w:r w:rsidRPr="00187C7B">
        <w:t xml:space="preserve">See eg ongoing commentary on data breach </w:t>
      </w:r>
      <w:r>
        <w:t xml:space="preserve">in </w:t>
      </w:r>
      <w:r w:rsidRPr="00187C7B">
        <w:t>arbitration, including loyalty programme litigation (2023–2024).</w:t>
      </w:r>
      <w:r w:rsidRPr="007F529A">
        <w:t xml:space="preserve"> https://u.ae/en/about-the-uae/digital-uae/data/data-protection-laws</w:t>
      </w:r>
      <w:r>
        <w:t xml:space="preserve"> </w:t>
      </w:r>
    </w:p>
  </w:footnote>
  <w:footnote w:id="11">
    <w:p w14:paraId="4B60699F" w14:textId="77777777" w:rsidR="00CD0E06" w:rsidRPr="00187C7B" w:rsidRDefault="00CD0E06" w:rsidP="00F073C0">
      <w:pPr>
        <w:pStyle w:val="FootnoteText"/>
      </w:pPr>
      <w:r>
        <w:rPr>
          <w:rStyle w:val="FootnoteReference"/>
        </w:rPr>
        <w:footnoteRef/>
      </w:r>
      <w:r>
        <w:t xml:space="preserve"> </w:t>
      </w:r>
      <w:r w:rsidRPr="00187C7B">
        <w:t xml:space="preserve">Freshfields Bruckhaus Deringer, Data Protection and Cybersecurity in International Arbitration (Freshfields, 2022) https://www.freshfields.com/ </w:t>
      </w:r>
    </w:p>
  </w:footnote>
  <w:footnote w:id="12">
    <w:p w14:paraId="4CC0E8C7" w14:textId="77777777" w:rsidR="00CD0E06" w:rsidRPr="003A5812" w:rsidRDefault="00CD0E06" w:rsidP="00F073C0">
      <w:pPr>
        <w:pStyle w:val="FootnoteText"/>
      </w:pPr>
      <w:r>
        <w:rPr>
          <w:rStyle w:val="FootnoteReference"/>
        </w:rPr>
        <w:footnoteRef/>
      </w:r>
      <w:r>
        <w:t xml:space="preserve"> </w:t>
      </w:r>
      <w:r w:rsidRPr="009F5AF3">
        <w:t>Cohen, S., and M. C. Morril. "A Call to Cyberarms: The International Arbitrator’s Duty to Avoid Digital Intrusion by Taking Reasonable Cybersecurity Measures." Transnational Dispute Management (TDM) 16.3 (2019).</w:t>
      </w:r>
      <w:r w:rsidRPr="003A5812">
        <w:t>https://www.transnational-dispute-management.com/article.asp?key=2642</w:t>
      </w:r>
      <w:r>
        <w:t xml:space="preserve"> </w:t>
      </w:r>
    </w:p>
  </w:footnote>
  <w:footnote w:id="13">
    <w:p w14:paraId="126B6E03" w14:textId="77777777" w:rsidR="00157A6B" w:rsidRPr="009D2CC5" w:rsidRDefault="00157A6B" w:rsidP="00157A6B">
      <w:pPr>
        <w:pStyle w:val="FootnoteText"/>
        <w:rPr>
          <w:lang w:val="en-US"/>
        </w:rPr>
      </w:pPr>
      <w:r>
        <w:rPr>
          <w:rStyle w:val="FootnoteReference"/>
        </w:rPr>
        <w:footnoteRef/>
      </w:r>
      <w:r>
        <w:t xml:space="preserve"> </w:t>
      </w:r>
      <w:r w:rsidRPr="00AC1529">
        <w:rPr>
          <w:lang w:val="en-US"/>
        </w:rPr>
        <w:t>Yuthayotin S, Access to Justice in Transnational B2C E-Commerce: A Multidimensional Analysis of Consumer Protection Mechanisms (Springer 2015).</w:t>
      </w:r>
    </w:p>
  </w:footnote>
  <w:footnote w:id="14">
    <w:p w14:paraId="1906096D" w14:textId="77777777" w:rsidR="00446679" w:rsidRPr="009D2CC5" w:rsidRDefault="00446679" w:rsidP="00F073C0">
      <w:pPr>
        <w:pStyle w:val="FootnoteText"/>
        <w:rPr>
          <w:lang w:val="en-US"/>
        </w:rPr>
      </w:pPr>
      <w:r>
        <w:rPr>
          <w:rStyle w:val="FootnoteReference"/>
        </w:rPr>
        <w:footnoteRef/>
      </w:r>
      <w:r>
        <w:t xml:space="preserve"> </w:t>
      </w:r>
      <w:bookmarkStart w:id="28" w:name="_Hlk217136090"/>
      <w:r w:rsidRPr="009D2CC5">
        <w:rPr>
          <w:lang w:val="en-US"/>
        </w:rPr>
        <w:t>Ahmed, S., &amp; Foster, L. (2025</w:t>
      </w:r>
      <w:r w:rsidRPr="0097562E">
        <w:rPr>
          <w:lang w:val="en-US"/>
        </w:rPr>
        <w:t>). Cybersecurity and confidentiality in online arbitration: A global perspective. International Arbitration Journal, 42(3), 245-267.</w:t>
      </w:r>
      <w:bookmarkEnd w:id="28"/>
    </w:p>
  </w:footnote>
  <w:footnote w:id="15">
    <w:p w14:paraId="17A464A1" w14:textId="77777777" w:rsidR="00CD0E06" w:rsidRPr="009D2CC5" w:rsidRDefault="00CD0E06" w:rsidP="00F073C0">
      <w:pPr>
        <w:pStyle w:val="FootnoteText"/>
        <w:rPr>
          <w:lang w:val="en-US"/>
        </w:rPr>
      </w:pPr>
      <w:r>
        <w:rPr>
          <w:rStyle w:val="FootnoteReference"/>
        </w:rPr>
        <w:footnoteRef/>
      </w:r>
      <w:r>
        <w:t xml:space="preserve"> </w:t>
      </w:r>
      <w:r w:rsidRPr="009D2CC5">
        <w:rPr>
          <w:lang w:val="en-US"/>
        </w:rPr>
        <w:t>Miller, L. (2018). Cybersecurity Insurance: Incentive Alignment Solution to Weak Corporate Data Protection. SSRN Electronic Journal , 1(1). https://doi.org/10.2139/ssrn.3113771</w:t>
      </w:r>
    </w:p>
  </w:footnote>
  <w:footnote w:id="16">
    <w:p w14:paraId="18B539A6" w14:textId="77777777" w:rsidR="00CD0E06" w:rsidRPr="009D2CC5" w:rsidRDefault="00CD0E06" w:rsidP="00F073C0">
      <w:pPr>
        <w:pStyle w:val="FootnoteText"/>
        <w:rPr>
          <w:lang w:val="en-US"/>
        </w:rPr>
      </w:pPr>
      <w:r>
        <w:rPr>
          <w:rStyle w:val="FootnoteReference"/>
        </w:rPr>
        <w:footnoteRef/>
      </w:r>
      <w:r>
        <w:t xml:space="preserve"> </w:t>
      </w:r>
      <w:r w:rsidRPr="009D2CC5">
        <w:rPr>
          <w:lang w:val="en-US"/>
        </w:rPr>
        <w:t>Miller, L. (2018). Cybersecurity Insurance: Incentive Alignment Solution to Weak Corporate Data Protection. SSRN Electronic Journal , 1(1). https://doi.org/10.2139/ssrn.3113771</w:t>
      </w:r>
    </w:p>
  </w:footnote>
  <w:footnote w:id="17">
    <w:p w14:paraId="7B7161E1" w14:textId="77777777" w:rsidR="00CD0E06" w:rsidRPr="009D2CC5" w:rsidRDefault="00CD0E06" w:rsidP="00F073C0">
      <w:pPr>
        <w:pStyle w:val="FootnoteText"/>
        <w:rPr>
          <w:lang w:val="en-US"/>
        </w:rPr>
      </w:pPr>
      <w:r>
        <w:rPr>
          <w:rStyle w:val="FootnoteReference"/>
        </w:rPr>
        <w:footnoteRef/>
      </w:r>
      <w:r>
        <w:t xml:space="preserve"> </w:t>
      </w:r>
      <w:r w:rsidRPr="00C94E69">
        <w:rPr>
          <w:lang w:val="en-US"/>
        </w:rPr>
        <w:t>Adeleke, F. (2014). Investor-state arbitration and the Public Interest Regulation theory. SSRN. Retrieved from https://papers.ssrn.com/sol3/papers.cfm?abstract_id=2451446</w:t>
      </w:r>
    </w:p>
  </w:footnote>
  <w:footnote w:id="18">
    <w:p w14:paraId="47C4E701" w14:textId="77777777" w:rsidR="00CD0E06" w:rsidRPr="00C94E69" w:rsidRDefault="00CD0E06" w:rsidP="00F073C0">
      <w:pPr>
        <w:pStyle w:val="FootnoteText"/>
        <w:rPr>
          <w:lang w:val="en-US"/>
        </w:rPr>
      </w:pPr>
      <w:r>
        <w:rPr>
          <w:rStyle w:val="FootnoteReference"/>
        </w:rPr>
        <w:footnoteRef/>
      </w:r>
      <w:r>
        <w:t xml:space="preserve"> </w:t>
      </w:r>
      <w:r>
        <w:rPr>
          <w:lang w:val="en-US"/>
        </w:rPr>
        <w:t>.</w:t>
      </w:r>
      <w:r w:rsidRPr="00C94E69">
        <w:rPr>
          <w:lang w:val="en-US"/>
        </w:rPr>
        <w:t xml:space="preserve">    Katz, D. M., et al. (2017, April 12). A general approach for predicting the behavior of the Supreme Court of the United States. PloS One, 12(4), 1–18. Retrieved May 27, 2024, from https://doi.org/10.1371/journal.pone.0174698</w:t>
      </w:r>
    </w:p>
  </w:footnote>
  <w:footnote w:id="19">
    <w:p w14:paraId="67DEEB5A"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Gibson, P., &amp; Clark, S. (2023). The role of data privacy laws in international arbitration: A comparative analysis. Data Protection Law Review, 52(1), 89-112.</w:t>
      </w:r>
      <w:bookmarkStart w:id="29" w:name="_Hlk211694601"/>
    </w:p>
    <w:bookmarkEnd w:id="29"/>
  </w:footnote>
  <w:footnote w:id="20">
    <w:p w14:paraId="6DF7BB4D"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Gu, W. (2022). Diversity of med-arb in international arbitration. In Diversity in International Arbitration, 1(1), 182-197; DOI: 10.4337/9781803920047.00021.</w:t>
      </w:r>
    </w:p>
  </w:footnote>
  <w:footnote w:id="21">
    <w:p w14:paraId="53D9707B" w14:textId="77777777" w:rsidR="00CD0E06" w:rsidRPr="00C94E69" w:rsidRDefault="00CD0E06" w:rsidP="00F073C0">
      <w:pPr>
        <w:pStyle w:val="FootnoteText"/>
        <w:rPr>
          <w:lang w:val="en-US"/>
        </w:rPr>
      </w:pPr>
      <w:r>
        <w:rPr>
          <w:rStyle w:val="FootnoteReference"/>
        </w:rPr>
        <w:footnoteRef/>
      </w:r>
      <w:r>
        <w:t xml:space="preserve"> </w:t>
      </w:r>
      <w:r w:rsidRPr="00AC1529">
        <w:rPr>
          <w:lang w:val="en-US"/>
        </w:rPr>
        <w:t>Gibson P and Clark S, ‘The Role of Data Privacy Laws in International Arbitration: A Comparative Analysis’ (2023) 52(1) Data Protection Law Review 89.</w:t>
      </w:r>
    </w:p>
  </w:footnote>
  <w:footnote w:id="22">
    <w:p w14:paraId="57BD1418" w14:textId="77777777" w:rsidR="00CD0E06" w:rsidRPr="00C94E69" w:rsidRDefault="00CD0E06" w:rsidP="00F073C0">
      <w:pPr>
        <w:pStyle w:val="FootnoteText"/>
        <w:rPr>
          <w:lang w:val="en-US"/>
        </w:rPr>
      </w:pPr>
      <w:r>
        <w:rPr>
          <w:rStyle w:val="FootnoteReference"/>
        </w:rPr>
        <w:footnoteRef/>
      </w:r>
      <w:r>
        <w:t xml:space="preserve"> </w:t>
      </w:r>
      <w:r w:rsidRPr="00AC1529">
        <w:rPr>
          <w:lang w:val="en-US"/>
        </w:rPr>
        <w:t>Williams H, ‘The Meaning of “Phenomenology”: Qualitative and Philosophical Phenomenological Research Methods’ (2021) 26(2) The Qualitative Report 366.</w:t>
      </w:r>
    </w:p>
  </w:footnote>
  <w:footnote w:id="23">
    <w:p w14:paraId="0BB8CEC3" w14:textId="77777777" w:rsidR="00CD0E06" w:rsidRPr="00C94E69" w:rsidRDefault="00CD0E06" w:rsidP="00F073C0">
      <w:pPr>
        <w:pStyle w:val="FootnoteText"/>
        <w:rPr>
          <w:lang w:val="en-US"/>
        </w:rPr>
      </w:pPr>
      <w:r>
        <w:rPr>
          <w:rStyle w:val="FootnoteReference"/>
        </w:rPr>
        <w:footnoteRef/>
      </w:r>
      <w:r>
        <w:t xml:space="preserve"> </w:t>
      </w:r>
      <w:r w:rsidRPr="00AC1529">
        <w:rPr>
          <w:lang w:val="en-US"/>
        </w:rPr>
        <w:t>Singh R, ‘Legal Implications of AI in Arbitration: Ethical Considerations’ (2024) 28(1) AI &amp; Law Review 167.</w:t>
      </w:r>
    </w:p>
  </w:footnote>
  <w:footnote w:id="24">
    <w:p w14:paraId="4BE0D3D9"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Reyes, A., &amp; Gu, W. (2021). Multi-tier Approaches to the Resolution of International Disputes: A Global and Comparative Study (1 ed.). London: Cambridge University Press.</w:t>
      </w:r>
    </w:p>
  </w:footnote>
  <w:footnote w:id="25">
    <w:p w14:paraId="0B2C10D7"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Rabinovich-Einy, O., &amp; Katsh, E. (2019). Blockchain and the inevitability of disputes: The role for online dispute resolution. Journal of Dispute Resolution, 47(1), 1–20.</w:t>
      </w:r>
    </w:p>
  </w:footnote>
  <w:footnote w:id="26">
    <w:p w14:paraId="348EB5E3"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 xml:space="preserve">    Ruckteschler, D., &amp; Stooss, T. (2019). International commercial courts: A superior alternative to arbitration? Journal of International Arbitration, 36(4), 431–449. Retrieved April 15, 2024, from https://doi.org/10.54648/joia2019022</w:t>
      </w:r>
    </w:p>
  </w:footnote>
  <w:footnote w:id="27">
    <w:p w14:paraId="61E49EA1"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S. Abdullah, J. Q. (2018). Domain name governance and dispute resolution. Court Uncourt, 5(1), 12–27.</w:t>
      </w:r>
    </w:p>
  </w:footnote>
  <w:footnote w:id="28">
    <w:p w14:paraId="1AA6662D"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Schreuer, C. (2005). Foreign Investment Disputes: Cases Materials and Commentary By r. Doak Bishop, James Crawford and w. Michael Reisman Kluwer (1 ed.). London: Law International.</w:t>
      </w:r>
    </w:p>
  </w:footnote>
  <w:footnote w:id="29">
    <w:p w14:paraId="7CAA7E19"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 xml:space="preserve">    </w:t>
      </w:r>
      <w:r w:rsidRPr="00AC1529">
        <w:rPr>
          <w:lang w:val="en-US"/>
        </w:rPr>
        <w:t xml:space="preserve">Rugder TW and others, ‘The Supreme Court Forecasting Project: Legal and Political Sciences Approaches to Predicting Supreme Court Decision-Making’ (2004) </w:t>
      </w:r>
      <w:hyperlink r:id="rId1" w:history="1">
        <w:r w:rsidRPr="00BD3F86">
          <w:rPr>
            <w:rStyle w:val="Hyperlink"/>
            <w:lang w:val="en-US"/>
          </w:rPr>
          <w:t>https://scholarship.law.upenn.edu/faculty_scholarship/672</w:t>
        </w:r>
      </w:hyperlink>
      <w:r>
        <w:rPr>
          <w:lang w:val="en-US"/>
        </w:rPr>
        <w:t xml:space="preserve"> </w:t>
      </w:r>
      <w:r w:rsidRPr="00AC1529">
        <w:rPr>
          <w:lang w:val="en-US"/>
        </w:rPr>
        <w:t xml:space="preserve"> accessed 21 May 2024.</w:t>
      </w:r>
      <w:r>
        <w:rPr>
          <w:lang w:val="en-US"/>
        </w:rPr>
        <w:t xml:space="preserve"> </w:t>
      </w:r>
    </w:p>
  </w:footnote>
  <w:footnote w:id="30">
    <w:p w14:paraId="33B4764D"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Shwedeh, F., Hami, N., &amp; Baker, S. (2020). March. Effect of leadership style on policy timeliness and performance of smart city in Dubai: a review. In Proceedings of the International Conference on Industrial Engineering and Operations Management, 1(1), 917-922.</w:t>
      </w:r>
    </w:p>
  </w:footnote>
  <w:footnote w:id="31">
    <w:p w14:paraId="2D2B2D22" w14:textId="77777777" w:rsidR="00CD0E06" w:rsidRPr="00C94E69" w:rsidRDefault="00CD0E06" w:rsidP="00F073C0">
      <w:pPr>
        <w:pStyle w:val="FootnoteText"/>
        <w:rPr>
          <w:lang w:val="en-US"/>
        </w:rPr>
      </w:pPr>
      <w:r>
        <w:rPr>
          <w:rStyle w:val="FootnoteReference"/>
        </w:rPr>
        <w:footnoteRef/>
      </w:r>
      <w:r>
        <w:t xml:space="preserve"> </w:t>
      </w:r>
      <w:bookmarkStart w:id="38" w:name="_Hlk217136340"/>
      <w:r w:rsidRPr="00C94E69">
        <w:rPr>
          <w:lang w:val="en-US"/>
        </w:rPr>
        <w:t>Tamimi. (2024). Breaking: UAE Ushers in Changes to the Arbitration Law. Retrieved April 03, 2024, from https://www.tamimi.com/news/breaking-uae-ushers-in-changes-to-the-arbitration-law/</w:t>
      </w:r>
      <w:bookmarkEnd w:id="38"/>
    </w:p>
  </w:footnote>
  <w:footnote w:id="32">
    <w:p w14:paraId="6C6F3DED"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33">
    <w:p w14:paraId="02A79F5E" w14:textId="77777777" w:rsidR="00CD0E06" w:rsidRPr="00C94E69" w:rsidRDefault="00CD0E06" w:rsidP="00F073C0">
      <w:pPr>
        <w:pStyle w:val="FootnoteText"/>
        <w:rPr>
          <w:lang w:val="en-US"/>
        </w:rPr>
      </w:pPr>
      <w:r>
        <w:rPr>
          <w:rStyle w:val="FootnoteReference"/>
        </w:rPr>
        <w:footnoteRef/>
      </w:r>
      <w:r>
        <w:t xml:space="preserve"> </w:t>
      </w:r>
      <w:bookmarkStart w:id="40" w:name="_Hlk217136376"/>
      <w:r w:rsidRPr="00C94E69">
        <w:rPr>
          <w:lang w:val="en-US"/>
        </w:rPr>
        <w:t>Evans, B. (2021). Hybrid arbitration models: Merging AI with human decision-making. Global Arbitration Journal, 36(2), 134-158.</w:t>
      </w:r>
      <w:bookmarkEnd w:id="40"/>
    </w:p>
  </w:footnote>
  <w:footnote w:id="34">
    <w:p w14:paraId="73998CC5"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Fusch, P., Fusch, G. E., &amp; Ness, L. R. (2018). Denzin's paradigm shift: Revisiting triangulation in qualitative research. Journal of Social Change, 10(1), 2–11.</w:t>
      </w:r>
    </w:p>
  </w:footnote>
  <w:footnote w:id="35">
    <w:p w14:paraId="64BA678A"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Garcia, P., &amp; Patel, S. (2023). Blockchain-based arbitration: Ensuring transparency and security in online dispute resolution. International Journal of Law &amp; Technology, 29(4), 187-210.</w:t>
      </w:r>
    </w:p>
  </w:footnote>
  <w:footnote w:id="36">
    <w:p w14:paraId="5E23015B" w14:textId="77777777" w:rsidR="00CD0E06" w:rsidRPr="00C94E69" w:rsidRDefault="00CD0E06" w:rsidP="00F073C0">
      <w:pPr>
        <w:pStyle w:val="FootnoteText"/>
        <w:rPr>
          <w:lang w:val="en-US"/>
        </w:rPr>
      </w:pPr>
      <w:r>
        <w:rPr>
          <w:rStyle w:val="FootnoteReference"/>
        </w:rPr>
        <w:footnoteRef/>
      </w:r>
      <w:r>
        <w:t xml:space="preserve"> </w:t>
      </w:r>
      <w:r w:rsidRPr="00AC1529">
        <w:rPr>
          <w:lang w:val="en-US"/>
        </w:rPr>
        <w:t>Johnston MP, ‘Secondary Data Analysis: A Method of Which the Time Has Come’ (2017) 3(3) Qualitative and Quantitative Methods in Libraries 619.</w:t>
      </w:r>
    </w:p>
  </w:footnote>
  <w:footnote w:id="37">
    <w:p w14:paraId="7FF7F34B"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Harris, T., &amp; Zhou, M. (2024). Artificial intelligence in online arbitration: Balancing efficiency and fairness. AI &amp; Law Review, 27(3), 145-169.</w:t>
      </w:r>
    </w:p>
  </w:footnote>
  <w:footnote w:id="38">
    <w:p w14:paraId="663D9262" w14:textId="77777777" w:rsidR="00CD0E06" w:rsidRDefault="00CD0E06" w:rsidP="00F073C0">
      <w:pPr>
        <w:pStyle w:val="FootnoteText"/>
      </w:pPr>
    </w:p>
    <w:p w14:paraId="6325A978" w14:textId="77777777" w:rsidR="00CD0E06" w:rsidRPr="00BA291F" w:rsidRDefault="00CD0E06" w:rsidP="00F073C0">
      <w:pPr>
        <w:pStyle w:val="FootnoteText"/>
        <w:rPr>
          <w:lang w:val="en-US"/>
        </w:rPr>
      </w:pPr>
      <w:r>
        <w:rPr>
          <w:rStyle w:val="FootnoteReference"/>
        </w:rPr>
        <w:footnoteRef/>
      </w:r>
      <w:r>
        <w:t xml:space="preserve"> </w:t>
      </w:r>
      <w:r w:rsidRPr="00BA291F">
        <w:t>Kaufmann-Kohler G, ‘Online Dispute Resolution and Its Significance for International Commercial Arbitration’ in Aksen G and others (eds), Global Reflections on International Law, Commerce and Dispute Resolution: Liber Amicorum in Honour of Robert Briner (ICC Publishing 2005).</w:t>
      </w:r>
    </w:p>
  </w:footnote>
  <w:footnote w:id="39">
    <w:p w14:paraId="36E341B4"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Garcia, P., &amp; Patel, S. (2023). Blockchain-based arbitration: Ensuring transparency and security in online dispute resolution. International Journal of Law &amp; Technology, 29(4), 187-210.</w:t>
      </w:r>
    </w:p>
  </w:footnote>
  <w:footnote w:id="40">
    <w:p w14:paraId="475C5974" w14:textId="77777777" w:rsidR="00CD0E06" w:rsidRPr="00C94E69" w:rsidRDefault="00CD0E06" w:rsidP="00F073C0">
      <w:pPr>
        <w:pStyle w:val="FootnoteText"/>
        <w:rPr>
          <w:lang w:val="en-US"/>
        </w:rPr>
      </w:pPr>
      <w:r>
        <w:rPr>
          <w:rStyle w:val="FootnoteReference"/>
        </w:rPr>
        <w:footnoteRef/>
      </w:r>
      <w:r>
        <w:t xml:space="preserve"> </w:t>
      </w:r>
      <w:r w:rsidRPr="00C94E69">
        <w:rPr>
          <w:lang w:val="en-US"/>
        </w:rPr>
        <w:t>Johnston, M. P. (2017). Secondary data analysis: A method of which the time has come. Qualitative and Quantitative Methods in Libraries, 3(3), 619–626.</w:t>
      </w:r>
    </w:p>
  </w:footnote>
  <w:footnote w:id="41">
    <w:p w14:paraId="3CE0806C" w14:textId="77777777" w:rsidR="00CD0E06" w:rsidRPr="00C94E69" w:rsidRDefault="00CD0E06" w:rsidP="00F073C0">
      <w:pPr>
        <w:pStyle w:val="FootnoteText"/>
        <w:rPr>
          <w:lang w:val="en-US"/>
        </w:rPr>
      </w:pPr>
      <w:r>
        <w:rPr>
          <w:rStyle w:val="FootnoteReference"/>
        </w:rPr>
        <w:footnoteRef/>
      </w:r>
      <w:r>
        <w:t xml:space="preserve"> </w:t>
      </w:r>
      <w:r w:rsidRPr="008E50C3">
        <w:rPr>
          <w:lang w:val="en-US"/>
        </w:rPr>
        <w:t>Wang, M., &amp; Jiang, Z. (2017). The defining approaches and practical paradox of sensitive data: An investigation of data protection laws in 92 countries and regions and 200 data breaches in the world. International Journal of Communication, 11(1), 20.</w:t>
      </w:r>
    </w:p>
  </w:footnote>
  <w:footnote w:id="42">
    <w:p w14:paraId="0BAB7B71" w14:textId="77777777" w:rsidR="00CD0E06" w:rsidRPr="00280DA5" w:rsidRDefault="00CD0E06" w:rsidP="00F073C0">
      <w:pPr>
        <w:pStyle w:val="FootnoteText"/>
        <w:rPr>
          <w:lang w:val="en-US"/>
        </w:rPr>
      </w:pPr>
      <w:r>
        <w:rPr>
          <w:rStyle w:val="FootnoteReference"/>
        </w:rPr>
        <w:footnoteRef/>
      </w:r>
      <w:r>
        <w:t xml:space="preserve"> </w:t>
      </w:r>
      <w:r w:rsidRPr="00280DA5">
        <w:t>Webley L, ‘Qualitative Approaches to Empirical Legal Research’ in Cane P and Kritzer H (eds), The Oxford Handbook of Empirical Legal Research (Oxford University Press 2010).</w:t>
      </w:r>
    </w:p>
  </w:footnote>
  <w:footnote w:id="43">
    <w:p w14:paraId="4CAB471C"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 xml:space="preserve">    Hague Conference on Private International Law. </w:t>
      </w:r>
      <w:r>
        <w:rPr>
          <w:lang w:val="en-US"/>
        </w:rPr>
        <w:t>(2024</w:t>
      </w:r>
      <w:r w:rsidRPr="008E50C3">
        <w:rPr>
          <w:lang w:val="en-US"/>
        </w:rPr>
        <w:t>). Apostille Section. Retrieved April 10, 2024, from https://www.hcch.net/en/instruments/conventions/specialised-sections/apostille</w:t>
      </w:r>
    </w:p>
  </w:footnote>
  <w:footnote w:id="44">
    <w:p w14:paraId="61D3EBB0"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Adeleke, F. (2014). Investor-state arbitration and the Public Interest Regulation theory. SSRN. Retrieved from https://papers.ssrn.com/sol3/papers.cfm?abstract_id=2451446</w:t>
      </w:r>
    </w:p>
  </w:footnote>
  <w:footnote w:id="45">
    <w:p w14:paraId="1A05BC12"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Arterburn, D. E., Crane, P. K., &amp; Sullivan, S. D. (2004). The Coming Epidemic of Obesity in Elderly Americans. Journal of the American Geriatrics Society, 52(11), 1907–1912. https://doi.org/10.1111/j.1532-5415.2004.52517.x</w:t>
      </w:r>
    </w:p>
  </w:footnote>
  <w:footnote w:id="46">
    <w:p w14:paraId="690CBF0D"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Ahmed, S., &amp; Foster, L. (2025). Cybersecurity and confidentiality in online arbitration: A global perspective. International Arbitration Journal, 42(3), 245-267.</w:t>
      </w:r>
    </w:p>
  </w:footnote>
  <w:footnote w:id="47">
    <w:p w14:paraId="290A3EA0"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Wilson, R. (2024). The impact of digital evidence on arbitration proceedings: Challenges and opportunities. Journal of Evidence Law, 36(1), 88-112.</w:t>
      </w:r>
    </w:p>
  </w:footnote>
  <w:footnote w:id="48">
    <w:p w14:paraId="09113EFE"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Al Tamimi, E. (2021). Practical guide to litigation and arbitration in the United Arab Emirates: A detailed guide to litigation and arbitration in the United Arab Emirates based on federal laws, laws specific to the individual Emirates, judgments delivered by the Court of Cass. Brill.</w:t>
      </w:r>
    </w:p>
  </w:footnote>
  <w:footnote w:id="49">
    <w:p w14:paraId="75AA58F5"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Wang, M., &amp; Jiang, Z. (2017). The defining approaches and practical paradox of sensitive data: An investigation of data protection laws in 92 countries and regions and 200 data breaches in the world. International Journal of Communication, 11(1), 20.</w:t>
      </w:r>
    </w:p>
  </w:footnote>
  <w:footnote w:id="50">
    <w:p w14:paraId="2323A22C" w14:textId="77777777" w:rsidR="00CD0E06" w:rsidRPr="008E50C3" w:rsidRDefault="00CD0E06" w:rsidP="00F073C0">
      <w:pPr>
        <w:pStyle w:val="FootnoteText"/>
        <w:rPr>
          <w:lang w:val="en-US"/>
        </w:rPr>
      </w:pPr>
      <w:r>
        <w:rPr>
          <w:rStyle w:val="FootnoteReference"/>
        </w:rPr>
        <w:footnoteRef/>
      </w:r>
      <w:r>
        <w:t xml:space="preserve"> </w:t>
      </w:r>
      <w:r w:rsidRPr="008E50C3">
        <w:t>Baker, D., &amp; Evans, C. (2023). Comparative analysis of online arbitration vs. traditional arbitration: Legal and practical implications. Global Arbitration Review, 37(2), 112-135.</w:t>
      </w:r>
    </w:p>
  </w:footnote>
  <w:footnote w:id="51">
    <w:p w14:paraId="29112C81" w14:textId="77777777" w:rsidR="00CD0E06" w:rsidRPr="008E50C3" w:rsidRDefault="00CD0E06" w:rsidP="00F073C0">
      <w:pPr>
        <w:pStyle w:val="FootnoteText"/>
      </w:pPr>
      <w:r>
        <w:rPr>
          <w:rStyle w:val="FootnoteReference"/>
        </w:rPr>
        <w:footnoteRef/>
      </w:r>
      <w:r>
        <w:t xml:space="preserve"> </w:t>
      </w:r>
      <w:bookmarkStart w:id="49" w:name="_Hlk217151931"/>
      <w:r w:rsidRPr="008E50C3">
        <w:t>Swiss. (2024, April 29). Swiss Arbitration Law &amp; International Rules - Download | ASA. Retrieved April 29, 2024, from Swiss Arbitration Association website: https://www.swissarbitration.org/swiss-arbitration/swiss-arbitration-laws/</w:t>
      </w:r>
      <w:bookmarkEnd w:id="49"/>
    </w:p>
  </w:footnote>
  <w:footnote w:id="52">
    <w:p w14:paraId="12E52563" w14:textId="77777777" w:rsidR="00CD0E06" w:rsidRPr="008E50C3" w:rsidRDefault="00CD0E06" w:rsidP="00F073C0">
      <w:pPr>
        <w:pStyle w:val="FootnoteText"/>
      </w:pPr>
      <w:r>
        <w:rPr>
          <w:rStyle w:val="FootnoteReference"/>
        </w:rPr>
        <w:footnoteRef/>
      </w:r>
      <w:r>
        <w:t xml:space="preserve"> </w:t>
      </w:r>
      <w:r w:rsidRPr="008E50C3">
        <w:t xml:space="preserve">    </w:t>
      </w:r>
      <w:bookmarkStart w:id="50" w:name="_Hlk217152388"/>
      <w:r w:rsidRPr="008E50C3">
        <w:t>Snider, T. R., &amp; Dilevka, S. (2018, April). Artificial Intelligence and International Arbitration: Going Beyond E-mail. Al Tamimi. Retrieved June 27, 2024, from https://www.tamimi.com/law-update-articles/artificial-intelligence-and-international-arbitration-going-beyond-e-mail/</w:t>
      </w:r>
      <w:bookmarkEnd w:id="50"/>
    </w:p>
  </w:footnote>
  <w:footnote w:id="53">
    <w:p w14:paraId="7BD7F63E"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Broches, A. (1995). elected essays: World Bank, ICSID, and Other subjects of public and private international law (1 ed.). London: Martinus Nijhoff Publishers.</w:t>
      </w:r>
    </w:p>
  </w:footnote>
  <w:footnote w:id="54">
    <w:p w14:paraId="270E99F7"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Schultz, T., &amp; Ortino, F. (2020). The Oxford Handbook of International Arbitration. (1 ed.). London: Oxford University Press</w:t>
      </w:r>
    </w:p>
  </w:footnote>
  <w:footnote w:id="55">
    <w:p w14:paraId="763572DE" w14:textId="77777777" w:rsidR="00CD0E06" w:rsidRPr="008E50C3" w:rsidRDefault="00CD0E06" w:rsidP="00F073C0">
      <w:pPr>
        <w:pStyle w:val="FootnoteText"/>
        <w:rPr>
          <w:lang w:val="en-US"/>
        </w:rPr>
      </w:pPr>
      <w:r>
        <w:rPr>
          <w:rStyle w:val="FootnoteReference"/>
        </w:rPr>
        <w:footnoteRef/>
      </w:r>
      <w:r>
        <w:t xml:space="preserve"> </w:t>
      </w:r>
      <w:bookmarkStart w:id="51" w:name="_Hlk217152437"/>
      <w:r w:rsidRPr="008E50C3">
        <w:rPr>
          <w:lang w:val="en-US"/>
        </w:rPr>
        <w:t>Taylor, M. (2024). The role of UNCITRAL in developing digital arbitration frameworks. Journal of International Trade Law, 39(4), 177-202.</w:t>
      </w:r>
      <w:bookmarkEnd w:id="51"/>
    </w:p>
  </w:footnote>
  <w:footnote w:id="56">
    <w:p w14:paraId="7B849C31"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 xml:space="preserve">    </w:t>
      </w:r>
      <w:bookmarkStart w:id="52" w:name="_Hlk217152450"/>
      <w:r w:rsidRPr="008E50C3">
        <w:rPr>
          <w:lang w:val="en-US"/>
        </w:rPr>
        <w:t>Soares, F. U. (2018). New technologies and arbitration. Indian Journal of Arbitration Law, 7(1). Retrieved July 12, 2024, from http://ijal.in/sites/default/files/IJAL_Volume_7_Issue_1_Francisco_Uribarri_Soares.pdf</w:t>
      </w:r>
      <w:bookmarkEnd w:id="52"/>
    </w:p>
  </w:footnote>
  <w:footnote w:id="57">
    <w:p w14:paraId="2968F339" w14:textId="77777777" w:rsidR="00CD0E06" w:rsidRPr="008E50C3" w:rsidRDefault="00CD0E06" w:rsidP="00F073C0">
      <w:pPr>
        <w:pStyle w:val="FootnoteText"/>
      </w:pPr>
      <w:r>
        <w:rPr>
          <w:rStyle w:val="FootnoteReference"/>
        </w:rPr>
        <w:footnoteRef/>
      </w:r>
      <w:r>
        <w:t xml:space="preserve"> </w:t>
      </w:r>
      <w:r w:rsidRPr="008E50C3">
        <w:t xml:space="preserve">    Ruckteschler, D., &amp; Stooss, T. (2019). International commercial courts: A superior alternative to arbitration? Journal of International Arbitration, 36(4), 431–449. Retrieved April 15, 2024, from https://doi.org/10.54648/joia2019022</w:t>
      </w:r>
    </w:p>
  </w:footnote>
  <w:footnote w:id="58">
    <w:p w14:paraId="3A478914"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 xml:space="preserve">    Snider, T. R., &amp; Dilevka, S. (2018, April). Artificial Intelligence and International Arbitration: Going Beyond E-mail. Al Tamimi. Retrieved June 27, 2024, from https://www.tamimi.com/law-update-articles/artificial-intelligence-and-international-arbitration-going-beyond-e-mail/</w:t>
      </w:r>
    </w:p>
  </w:footnote>
  <w:footnote w:id="59">
    <w:p w14:paraId="6562A705"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Reyes, A., &amp; Gu, W. (2021). Multi-tier Approaches to the Resolution of International Disputes: A Global and Comparative Study (1 ed.). London: Cambridge University Press.</w:t>
      </w:r>
    </w:p>
  </w:footnote>
  <w:footnote w:id="60">
    <w:p w14:paraId="14AE5418"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 xml:space="preserve">Muhammad, M. R. R. (2015). The significance of building information </w:t>
      </w:r>
      <w:r>
        <w:rPr>
          <w:lang w:val="en-US"/>
        </w:rPr>
        <w:t>modelling</w:t>
      </w:r>
      <w:r w:rsidRPr="008E50C3">
        <w:rPr>
          <w:lang w:val="en-US"/>
        </w:rPr>
        <w:t xml:space="preserve"> to the quantity surveying practices in the UAE construction industry. 6th International Conference on Structural Engineering and Construction Management.</w:t>
      </w:r>
      <w:r>
        <w:rPr>
          <w:lang w:val="en-US"/>
        </w:rPr>
        <w:t xml:space="preserve"> </w:t>
      </w:r>
    </w:p>
  </w:footnote>
  <w:footnote w:id="61">
    <w:p w14:paraId="7EDCD80F"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 xml:space="preserve">    Mistelis, L. (2006). ADR in England and Wales: A successful case of public-private partnership. In N. M. Alexander (Ed.), Global trends in mediation (p. 160). Wolters Kluwer.</w:t>
      </w:r>
    </w:p>
  </w:footnote>
  <w:footnote w:id="62">
    <w:p w14:paraId="7959B241"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 xml:space="preserve">    Katz, D. M., et al. (2017, April 12). A general approach for predicting the behavior of the Supreme Court of the United States. PloS One, 12(4), 1–1</w:t>
      </w:r>
      <w:r>
        <w:rPr>
          <w:lang w:val="en-US"/>
        </w:rPr>
        <w:t xml:space="preserve">8. Retrieved May 27, 2024, from </w:t>
      </w:r>
      <w:hyperlink r:id="rId2" w:history="1">
        <w:r w:rsidRPr="00A72851">
          <w:rPr>
            <w:rStyle w:val="Hyperlink"/>
            <w:lang w:val="en-US"/>
          </w:rPr>
          <w:t>https://doi.org/10.1371/journal.pone.0174698</w:t>
        </w:r>
      </w:hyperlink>
      <w:r>
        <w:rPr>
          <w:lang w:val="en-US"/>
        </w:rPr>
        <w:t xml:space="preserve">. </w:t>
      </w:r>
    </w:p>
  </w:footnote>
  <w:footnote w:id="63">
    <w:p w14:paraId="01185CBB" w14:textId="77777777" w:rsidR="00CD0E06" w:rsidRPr="008E50C3" w:rsidRDefault="00CD0E06" w:rsidP="00F073C0">
      <w:pPr>
        <w:pStyle w:val="FootnoteText"/>
        <w:rPr>
          <w:lang w:val="en-US"/>
        </w:rPr>
      </w:pPr>
      <w:r>
        <w:rPr>
          <w:rStyle w:val="FootnoteReference"/>
        </w:rPr>
        <w:footnoteRef/>
      </w:r>
      <w:r>
        <w:t xml:space="preserve"> </w:t>
      </w:r>
      <w:bookmarkStart w:id="54" w:name="_Hlk217213151"/>
      <w:r w:rsidRPr="008E50C3">
        <w:rPr>
          <w:lang w:val="en-US"/>
        </w:rPr>
        <w:t>Harris, T., &amp; Zhou, M. (2024). Regulatory approaches to AI in arbitration: Ethical and legal considerations. International Journal of Law &amp; Ethics, 35(2), 211-232.</w:t>
      </w:r>
      <w:bookmarkEnd w:id="54"/>
    </w:p>
  </w:footnote>
  <w:footnote w:id="64">
    <w:p w14:paraId="1EAA21D1"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Giupponi, B. (2022). “Virtual” Dispute Resolution in International Arbitration: Mapping Its Advantages and Main Caveats in the Face of COVID-19. In The Impact of Covid on International Disputes, 62-83; DOI: 10.1163/9789004514836_005.</w:t>
      </w:r>
    </w:p>
  </w:footnote>
  <w:footnote w:id="65">
    <w:p w14:paraId="7FE00506"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Dylag, M., &amp; Smith, H. (2021). From cryptocurrencies to cryptocourts: Blockchain and the financialization of dispute resolution platforms. Information, Communication &amp; Society, 1(1), 1–23.</w:t>
      </w:r>
    </w:p>
  </w:footnote>
  <w:footnote w:id="66">
    <w:p w14:paraId="502DA210"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Chandra, G. R. (2016). Cyber space for universal peace: The contribution of online dispute resolution. IUP Law Review, 6(1), 23–45.</w:t>
      </w:r>
    </w:p>
  </w:footnote>
  <w:footnote w:id="67">
    <w:p w14:paraId="01AF312F"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Baldwin, R., Cave, M., &amp; Lodge, M. (2011). Understanding regulation: Theory, strategy, and practice. Oxford University Press.</w:t>
      </w:r>
    </w:p>
  </w:footnote>
  <w:footnote w:id="68">
    <w:p w14:paraId="38FE84BB"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Arterburn, D. E., Crane, P. K., &amp; Sullivan, S. D. (2004). The Coming Epidemic of Obesity in Elderly Americans. Journal of the American Geriatrics Society, 52(11), 1907–1912. https://doi.org/10.1111/j.1532-5415.2004.52517.x</w:t>
      </w:r>
    </w:p>
  </w:footnote>
  <w:footnote w:id="69">
    <w:p w14:paraId="1736DDAB"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Al-Sharrah, A., &amp; El-Darwiche, A. (2021). Online Arbitration and its Future. Journal of International Commercial Law and Technology, 16(3), 232-249.</w:t>
      </w:r>
    </w:p>
  </w:footnote>
  <w:footnote w:id="70">
    <w:p w14:paraId="2EE2AA89"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Al Tamimi, E. (2021). Practical guide to litigation and arbitration in the United Arab Emirates: A detailed guide to litigation and arbitration in the United Arab Emirates based on federal laws, laws specific to the individual Emirates, judgments delivered by the Court of Cass. Brill.</w:t>
      </w:r>
    </w:p>
  </w:footnote>
  <w:footnote w:id="71">
    <w:p w14:paraId="48B51333"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Academic Publications on Arbitration in the UAE, UAE University Law Journal.</w:t>
      </w:r>
    </w:p>
  </w:footnote>
  <w:footnote w:id="72">
    <w:p w14:paraId="65AE65AA"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Awwad, R., Barakat, B., &amp; Menassa, C. (2016). Understanding dispute resolution in the Middle East region from perspectives of different stakeholders. Journal of Management in Engineering, 32(6), 05016019; DOi: 10.1061/(ASCE)ME.1943-5479.0000465.</w:t>
      </w:r>
    </w:p>
  </w:footnote>
  <w:footnote w:id="73">
    <w:p w14:paraId="6E7F184D" w14:textId="77777777" w:rsidR="00CD0E06" w:rsidRPr="008E50C3" w:rsidRDefault="00CD0E06" w:rsidP="00F073C0">
      <w:pPr>
        <w:pStyle w:val="FootnoteText"/>
        <w:rPr>
          <w:lang w:val="en-US"/>
        </w:rPr>
      </w:pPr>
      <w:r>
        <w:rPr>
          <w:rStyle w:val="FootnoteReference"/>
        </w:rPr>
        <w:footnoteRef/>
      </w:r>
      <w:r>
        <w:t xml:space="preserve"> </w:t>
      </w:r>
      <w:r w:rsidRPr="007A4ADF">
        <w:rPr>
          <w:lang w:val="en-US"/>
        </w:rPr>
        <w:t>Ebner N and Zeleznikow J, ‘Fairness, Trust, and Security in Online Dispute Resolution’ (2015) 36 Hamline Journal of Public Law &amp; Policy vi.</w:t>
      </w:r>
    </w:p>
  </w:footnote>
  <w:footnote w:id="74">
    <w:p w14:paraId="1CD4313E"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de Souza, S. P., Aithala, V., &amp; John, S. (</w:t>
      </w:r>
      <w:r>
        <w:rPr>
          <w:lang w:val="en-US"/>
        </w:rPr>
        <w:t>2021</w:t>
      </w:r>
      <w:r w:rsidRPr="008E50C3">
        <w:rPr>
          <w:lang w:val="en-US"/>
        </w:rPr>
        <w:t>). The Supreme Court of India’s vision for e-Courts: The need to retain justice as a public service. Retrieved from https://www.thehinducentre.com/publications/policy-watch/article35229520.ece</w:t>
      </w:r>
    </w:p>
  </w:footnote>
  <w:footnote w:id="75">
    <w:p w14:paraId="1371E753"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76">
    <w:p w14:paraId="13C41FCA" w14:textId="77777777" w:rsidR="00CD0E06" w:rsidRPr="008E50C3" w:rsidRDefault="00CD0E06" w:rsidP="00F073C0">
      <w:pPr>
        <w:pStyle w:val="FootnoteText"/>
        <w:rPr>
          <w:lang w:val="en-US"/>
        </w:rPr>
      </w:pPr>
      <w:r>
        <w:rPr>
          <w:rStyle w:val="FootnoteReference"/>
        </w:rPr>
        <w:footnoteRef/>
      </w:r>
      <w:r>
        <w:t xml:space="preserve"> </w:t>
      </w:r>
      <w:r w:rsidRPr="008E50C3">
        <w:rPr>
          <w:lang w:val="en-US"/>
        </w:rPr>
        <w:t>Ahmed, S., &amp; Foster, L. (2025). Cybersecurity and confidentiality in online arbitration: A global perspective. International Arbitration Journal, 42(3), 245-267.</w:t>
      </w:r>
    </w:p>
  </w:footnote>
  <w:footnote w:id="77">
    <w:p w14:paraId="66044A8B" w14:textId="77777777" w:rsidR="00CD0E06" w:rsidRPr="008E50C3" w:rsidRDefault="00CD0E06" w:rsidP="00F073C0">
      <w:pPr>
        <w:pStyle w:val="FootnoteText"/>
        <w:rPr>
          <w:lang w:val="en-US"/>
        </w:rPr>
      </w:pPr>
      <w:r>
        <w:rPr>
          <w:rStyle w:val="FootnoteReference"/>
        </w:rPr>
        <w:footnoteRef/>
      </w:r>
      <w:r>
        <w:t xml:space="preserve"> </w:t>
      </w:r>
      <w:r w:rsidRPr="0036207A">
        <w:rPr>
          <w:lang w:val="en-US"/>
        </w:rPr>
        <w:t>Alvik, I. (2011). Contracting with sovereignty: state contracts and international arbitration. London: Bloomsbury Publishing ; ISBN: 9781847316226.</w:t>
      </w:r>
    </w:p>
  </w:footnote>
  <w:footnote w:id="78">
    <w:p w14:paraId="4DAC9F3F" w14:textId="77777777" w:rsidR="00CD0E06" w:rsidRPr="008E50C3" w:rsidRDefault="00CD0E06" w:rsidP="00F073C0">
      <w:pPr>
        <w:pStyle w:val="FootnoteText"/>
        <w:rPr>
          <w:lang w:val="en-US"/>
        </w:rPr>
      </w:pPr>
      <w:r>
        <w:rPr>
          <w:rStyle w:val="FootnoteReference"/>
        </w:rPr>
        <w:footnoteRef/>
      </w:r>
      <w:r>
        <w:t xml:space="preserve"> </w:t>
      </w:r>
      <w:r w:rsidRPr="0036207A">
        <w:rPr>
          <w:lang w:val="en-US"/>
        </w:rPr>
        <w:t>Awwad, R., Barakat, B., &amp; Menassa, C. (2016). Understanding dispute resolution in the Middle East region from perspectives of different stakeholders. Journal of Management in Engineering, 32(6), 05016019; DOi: 10.1061/(ASCE)ME.1943-5479.0000465.</w:t>
      </w:r>
    </w:p>
  </w:footnote>
  <w:footnote w:id="79">
    <w:p w14:paraId="72660B2D" w14:textId="77777777" w:rsidR="00CD0E06" w:rsidRPr="0036207A" w:rsidRDefault="00CD0E06" w:rsidP="00F073C0">
      <w:pPr>
        <w:pStyle w:val="FootnoteText"/>
        <w:rPr>
          <w:lang w:val="en-US"/>
        </w:rPr>
      </w:pPr>
      <w:r>
        <w:rPr>
          <w:rStyle w:val="FootnoteReference"/>
        </w:rPr>
        <w:footnoteRef/>
      </w:r>
      <w:r>
        <w:t xml:space="preserve"> </w:t>
      </w:r>
      <w:bookmarkStart w:id="55" w:name="_Hlk217213423"/>
      <w:r w:rsidRPr="0036207A">
        <w:rPr>
          <w:lang w:val="en-US"/>
        </w:rPr>
        <w:t>Carr, K. (2025). Security gaps in online arbitration platforms and potential solutions. Cybersecurity Law Review, 48(1), 98-122.</w:t>
      </w:r>
      <w:bookmarkEnd w:id="55"/>
    </w:p>
  </w:footnote>
  <w:footnote w:id="80">
    <w:p w14:paraId="4FC7AEA3"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Clark, J., &amp; Foster, E. (2022). Virtual hearings and due process concerns in online arbitration. Arbitration Law Journal, 33(5), 267-290.</w:t>
      </w:r>
    </w:p>
  </w:footnote>
  <w:footnote w:id="81">
    <w:p w14:paraId="3A8395A2"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Gu, W. (2022). Diversity of med-arb in international arbitration. In Diversity in International Arbitration, 1(1), 182-197; DOI: 10.4337/9781803920047.00021.</w:t>
      </w:r>
    </w:p>
  </w:footnote>
  <w:footnote w:id="82">
    <w:p w14:paraId="65102956"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Harris, T., &amp; Zhou, M. (2024). Artificial intelligence in online arbitration: Balancing efficiency and fairness. AI &amp; Law Review, 27(3), 145-169.</w:t>
      </w:r>
    </w:p>
  </w:footnote>
  <w:footnote w:id="83">
    <w:p w14:paraId="380EBF01"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Johnston, M. P. (2017). Secondary data analysis: A method of which the time has come. Qualitative and Quantitative Methods in Libraries, 3(3), 619–626.</w:t>
      </w:r>
    </w:p>
  </w:footnote>
  <w:footnote w:id="84">
    <w:p w14:paraId="28C25F62"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 xml:space="preserve">    </w:t>
      </w:r>
      <w:bookmarkStart w:id="60" w:name="_Hlk217213473"/>
      <w:r w:rsidRPr="0036207A">
        <w:rPr>
          <w:lang w:val="en-US"/>
        </w:rPr>
        <w:t>Kaufmann-Kohler, G. (2005). Online dispute resolution and its significance for international commercial arbitration. In G. Aksen et al. (Eds.), Global reflections on international law, commerce and dispute resolution: Liber amicorum in honour of Robert Briner (pp. 440–445). ICC Publishing.</w:t>
      </w:r>
      <w:bookmarkEnd w:id="60"/>
    </w:p>
  </w:footnote>
  <w:footnote w:id="85">
    <w:p w14:paraId="43D1FA28"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Leigh, D., &amp; Fowlie, F. (2014). Online dispute resolution (ODR) within developing nations: a qualitative evaluation of transfer and impact. Laws, 1(1), 106-116; DOi: 10.3390/laws3010106.</w:t>
      </w:r>
    </w:p>
  </w:footnote>
  <w:footnote w:id="86">
    <w:p w14:paraId="6976BC47"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Rabinovich-Einy, O., &amp; Katsh, E. (2021). Artificial intelligence and the future of dispute resolution: the Age of AI-DR. Orna Rabinovich-Einy and Ethan Katsh, “Artificial Intelligence and the Future of Dispute Resolution: The Age of AI-DR” in Online Dispute Resolution: Theory and Practice. Eleven International Publishing, 1(1), 15-95.</w:t>
      </w:r>
    </w:p>
  </w:footnote>
  <w:footnote w:id="87">
    <w:p w14:paraId="0B21D147"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Reyes, A., &amp; Gu, W. (2021). Multi-tier Approaches to the Resolution of International Disputes: A Global and Comparative Study (1 ed.). London: Cambridge University Press.</w:t>
      </w:r>
    </w:p>
  </w:footnote>
  <w:footnote w:id="88">
    <w:p w14:paraId="2B665055"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 xml:space="preserve">    Ruckteschler, D., &amp; Stooss, T. (2019). International commercial courts: A superior alternative to arbitration? Journal of International Arbitration, 36(4), 431–449. Retrieved April 15, 2024, from https://doi.org/10.54648/joia2019022</w:t>
      </w:r>
    </w:p>
  </w:footnote>
  <w:footnote w:id="89">
    <w:p w14:paraId="0F24A7EC" w14:textId="77777777" w:rsidR="00CD0E06" w:rsidRPr="0036207A" w:rsidRDefault="00CD0E06" w:rsidP="00F073C0">
      <w:pPr>
        <w:pStyle w:val="FootnoteText"/>
        <w:rPr>
          <w:lang w:val="en-US"/>
        </w:rPr>
      </w:pPr>
      <w:r>
        <w:rPr>
          <w:rStyle w:val="FootnoteReference"/>
        </w:rPr>
        <w:footnoteRef/>
      </w:r>
      <w:r>
        <w:t xml:space="preserve"> </w:t>
      </w:r>
      <w:bookmarkStart w:id="61" w:name="_Hlk217214819"/>
      <w:r w:rsidRPr="0036207A">
        <w:rPr>
          <w:lang w:val="en-US"/>
        </w:rPr>
        <w:t>S. Abdullah, J. Q. (2018). Domain name governance and dispute resolution. Court Uncourt, 5(1), 12–27.</w:t>
      </w:r>
      <w:bookmarkEnd w:id="61"/>
    </w:p>
  </w:footnote>
  <w:footnote w:id="90">
    <w:p w14:paraId="0C4AB073"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 xml:space="preserve">   </w:t>
      </w:r>
      <w:bookmarkStart w:id="62" w:name="_Hlk217214870"/>
      <w:r w:rsidRPr="0036207A">
        <w:rPr>
          <w:lang w:val="en-US"/>
        </w:rPr>
        <w:t xml:space="preserve"> Scherer, M. (2019). International Arbitration 3.0 – How Artificial Intelligence Will Change Dispute Resolution. </w:t>
      </w:r>
    </w:p>
    <w:bookmarkEnd w:id="62"/>
  </w:footnote>
  <w:footnote w:id="91">
    <w:p w14:paraId="285FE998"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Smith, J., &amp; Jones, L. (2021). The evolution of online arbitration: A legal perspective. Harvard Law Review, 134(6), 311-338.</w:t>
      </w:r>
    </w:p>
  </w:footnote>
  <w:footnote w:id="92">
    <w:p w14:paraId="02914071"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Swiss</w:t>
      </w:r>
      <w:r>
        <w:rPr>
          <w:lang w:val="en-US"/>
        </w:rPr>
        <w:t xml:space="preserve"> </w:t>
      </w:r>
      <w:r w:rsidRPr="0036207A">
        <w:rPr>
          <w:lang w:val="en-US"/>
        </w:rPr>
        <w:t>arbitration. (2024). Swiss Rules of International Arbitration Practice Note. Retrieved April 03, 2024</w:t>
      </w:r>
    </w:p>
  </w:footnote>
  <w:footnote w:id="93">
    <w:p w14:paraId="1961E8D3"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S. Abdullah, J. Q. (2018). Domain name governance and dispute resolution. Court Uncourt, 5(1), 12–27.</w:t>
      </w:r>
    </w:p>
  </w:footnote>
  <w:footnote w:id="94">
    <w:p w14:paraId="5C2D9BDA" w14:textId="77777777" w:rsidR="00CD0E06" w:rsidRPr="0036207A" w:rsidRDefault="00CD0E06" w:rsidP="00F073C0">
      <w:pPr>
        <w:pStyle w:val="FootnoteText"/>
        <w:rPr>
          <w:lang w:val="en-US"/>
        </w:rPr>
      </w:pPr>
      <w:r>
        <w:rPr>
          <w:rStyle w:val="FootnoteReference"/>
        </w:rPr>
        <w:footnoteRef/>
      </w:r>
      <w:r>
        <w:t xml:space="preserve"> </w:t>
      </w:r>
      <w:r w:rsidRPr="00F4618E">
        <w:rPr>
          <w:lang w:val="en-US"/>
        </w:rPr>
        <w:t>Ebner N and Zeleznikow J, ‘Fairness, Trust, and Security in Online Dispute Resolution’ (2015) 36 Hamline Journal of Public Law &amp; Policy vi.</w:t>
      </w:r>
    </w:p>
  </w:footnote>
  <w:footnote w:id="95">
    <w:p w14:paraId="5CC0E9B0"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 xml:space="preserve">    Snider, T. R., &amp; Dilevka, S. (2018, April). Artificial Intelligence and International Arbitration: Going Beyond E-mail. Al Tamimi. Retrieved June 27, 2024, from https://www.tamimi.com/law-update-articles/artificial-intelligence-and-international-arbitration-going-beyond-e-mail/</w:t>
      </w:r>
    </w:p>
  </w:footnote>
  <w:footnote w:id="96">
    <w:p w14:paraId="6FD1E990"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 xml:space="preserve">    Snider, T. R., &amp; Dilevka, S. (2018, April). Artificial Intelligence and International Arbitration: Going Beyond E-mail. Al Tamimi. Retrieved June 27, 2024, from https://www.tamimi.com/law-update-articles/artificial-intelligence-and-international-arbitration-going-beyond-e-mail/</w:t>
      </w:r>
    </w:p>
  </w:footnote>
  <w:footnote w:id="97">
    <w:p w14:paraId="62FA3757"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Rickard, E., &amp; Naqui, Q. (2021). How well does online dispute resolution help resolve lawsuits outside the courtroom? Civil Legal System Modernization, 1(1), 1–23.</w:t>
      </w:r>
    </w:p>
  </w:footnote>
  <w:footnote w:id="98">
    <w:p w14:paraId="3429F287"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Raghu, A. (2006). The legal challenges facing online dispute resolution: An overview. Galexia Consulting.</w:t>
      </w:r>
    </w:p>
  </w:footnote>
  <w:footnote w:id="99">
    <w:p w14:paraId="4849EA6D"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Harris, T., &amp; Zhou, M. (2024). Regulatory approaches to AI in arbitration: Ethical and legal considerations. International Journal of Law &amp; Ethics, 35(2), 211-232.</w:t>
      </w:r>
    </w:p>
  </w:footnote>
  <w:footnote w:id="100">
    <w:p w14:paraId="56B33914"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Harris, T., &amp; Zhou, M. (2024). Artificial intelligence in online arbitration: Balancing efficiency and fairness. AI &amp; Law Review, 27(3), 145-169.</w:t>
      </w:r>
    </w:p>
  </w:footnote>
  <w:footnote w:id="101">
    <w:p w14:paraId="34A19A2B"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 xml:space="preserve">    Hague Conference on Private International Law. (</w:t>
      </w:r>
      <w:r>
        <w:rPr>
          <w:lang w:val="en-US"/>
        </w:rPr>
        <w:t>2024</w:t>
      </w:r>
      <w:r w:rsidRPr="0036207A">
        <w:rPr>
          <w:lang w:val="en-US"/>
        </w:rPr>
        <w:t>). Apostille Section. Retrieved April 10, 2024</w:t>
      </w:r>
      <w:r>
        <w:rPr>
          <w:lang w:val="en-US"/>
        </w:rPr>
        <w:t>.</w:t>
      </w:r>
    </w:p>
  </w:footnote>
  <w:footnote w:id="102">
    <w:p w14:paraId="36A43EA9"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 xml:space="preserve">Gov. UK. (2024). The Data Protection Act. Retrieved January 17, 2024, from Gov. UK: </w:t>
      </w:r>
    </w:p>
  </w:footnote>
  <w:footnote w:id="103">
    <w:p w14:paraId="5604A778"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 xml:space="preserve">    Dent-Spargo, T. (2018, March 5). Lawyer versus robot. Robotics Law Journal. Retrieved June 27, 2024</w:t>
      </w:r>
    </w:p>
  </w:footnote>
  <w:footnote w:id="104">
    <w:p w14:paraId="0B998AC7"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 xml:space="preserve">    Cohen, P., &amp; Nappert, S. (2018). Case study: The practitioner’s perspective. In M. Piers &amp; C. Aschauer (Eds.), Arbitration in the digital age: The brave new world of arbitration (pp. 126–148). Cambridge University Press.</w:t>
      </w:r>
    </w:p>
  </w:footnote>
  <w:footnote w:id="105">
    <w:p w14:paraId="1C6DA227"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Brown, K., &amp; Wilson, R. (2022). Enforceability of online arbitration awards under the New York Convention. Journal of International Arbitration, 39(4), 321-344.</w:t>
      </w:r>
    </w:p>
  </w:footnote>
  <w:footnote w:id="106">
    <w:p w14:paraId="34F26BF0"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Bakhramova, M. (2022). Procedures and Legal Regulation of Disputes in Online Arbitration. EUROPEAN JOURNAL OF INNOVATION IN NONFORMAL EDUCATION, 2(1), 293-298; ISSN: 2795-8612.</w:t>
      </w:r>
    </w:p>
  </w:footnote>
  <w:footnote w:id="107">
    <w:p w14:paraId="5323B1C0"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Awwad, R., Barakat, B., &amp; Menassa, C. (2016). Understanding dispute resolution in the Middle East region from perspectives of different stakeholders. Journal of Management in Engineering, 32(5), 5016019.</w:t>
      </w:r>
    </w:p>
  </w:footnote>
  <w:footnote w:id="108">
    <w:p w14:paraId="1B66EB3E"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Arterburn, D. E., Crane, P. K., &amp; Sullivan, S. D. (2004). The Coming Epidemic of Obesity in Elderly Americans. Journal of the American Geriatrics Society, 52(11), 1907–1912. https://doi.org/10.1111/j.1532-5415.2004.52517.x</w:t>
      </w:r>
    </w:p>
  </w:footnote>
  <w:footnote w:id="109">
    <w:p w14:paraId="565B70DB"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110">
    <w:p w14:paraId="0D055867"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Yu, H., &amp; Nasir, M. (2003). Can online arbitration exist within the traditional arbitration framework. J. Int'l Arb, 1(1), 455.</w:t>
      </w:r>
    </w:p>
  </w:footnote>
  <w:footnote w:id="111">
    <w:p w14:paraId="211D2EE7"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Taylor, M. (2024). The role of UNCITRAL in developing digital arbitration frameworks. Journal of International Trade Law, 39(4), 177-202.</w:t>
      </w:r>
    </w:p>
  </w:footnote>
  <w:footnote w:id="112">
    <w:p w14:paraId="779D1255"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Born, G. (2021). International arbitration: law and practice. London: International Arbitration.</w:t>
      </w:r>
    </w:p>
  </w:footnote>
  <w:footnote w:id="113">
    <w:p w14:paraId="5FD52C7B"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Smith, J., &amp; Jones, L. (2021). The evolution of online arbitration: A legal perspective. Harvard Law Review, 134(6), 311-338.</w:t>
      </w:r>
    </w:p>
  </w:footnote>
  <w:footnote w:id="114">
    <w:p w14:paraId="10185037"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Al Tamimi, E. (2021). Practical guide to litigation and arbitration in the United Arab Emirates: A detailed guide to litigation and arbitration in the United Arab Emirates based on federal laws, laws specific to the individual Emirates, judgments delivered by the Court of Cass. Brill.</w:t>
      </w:r>
    </w:p>
  </w:footnote>
  <w:footnote w:id="115">
    <w:p w14:paraId="0FCA062E"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Shwedeh, F., Hami, N., &amp; Baker, S. (2020). March. Effect of leadership style on policy timeliness and performance of smart city in Dubai: a review. In Proceedings of the International Conference on Industrial Engineering and Operations Management, 1(1), 917-922.</w:t>
      </w:r>
    </w:p>
  </w:footnote>
  <w:footnote w:id="116">
    <w:p w14:paraId="545BCF07" w14:textId="77777777" w:rsidR="00CD0E06" w:rsidRPr="0036207A" w:rsidRDefault="00CD0E06" w:rsidP="00F073C0">
      <w:pPr>
        <w:pStyle w:val="FootnoteText"/>
        <w:rPr>
          <w:lang w:val="en-US"/>
        </w:rPr>
      </w:pPr>
      <w:r>
        <w:rPr>
          <w:rStyle w:val="FootnoteReference"/>
        </w:rPr>
        <w:footnoteRef/>
      </w:r>
      <w:r>
        <w:t xml:space="preserve"> </w:t>
      </w:r>
      <w:r w:rsidRPr="0036207A">
        <w:rPr>
          <w:lang w:val="en-US"/>
        </w:rPr>
        <w:t>Scherer, M. (2019). International Arbitration 3.0 – How Artificial Intelligence Will Change Dispute Resolution. Austrian Yearbook of International Arbitration. Retrieved June 27, 2024, from https://ssrn.com/abstract=3377234</w:t>
      </w:r>
    </w:p>
  </w:footnote>
  <w:footnote w:id="117">
    <w:p w14:paraId="612221D9" w14:textId="77777777" w:rsidR="00CD0E06" w:rsidRPr="0036207A" w:rsidRDefault="00CD0E06" w:rsidP="00F073C0">
      <w:pPr>
        <w:pStyle w:val="FootnoteText"/>
        <w:rPr>
          <w:lang w:val="en-US"/>
        </w:rPr>
      </w:pPr>
      <w:r>
        <w:rPr>
          <w:rStyle w:val="FootnoteReference"/>
        </w:rPr>
        <w:footnoteRef/>
      </w:r>
      <w:r>
        <w:t xml:space="preserve"> </w:t>
      </w:r>
      <w:bookmarkStart w:id="67" w:name="_Hlk217413922"/>
      <w:r w:rsidRPr="0036207A">
        <w:rPr>
          <w:lang w:val="en-US"/>
        </w:rPr>
        <w:t xml:space="preserve">Wilson, R. (2024). The impact of digital evidence on arbitration proceedings: Challenges and opportunities. Journal of Evidence Law, 36(1), </w:t>
      </w:r>
      <w:bookmarkEnd w:id="67"/>
      <w:r w:rsidRPr="0036207A">
        <w:rPr>
          <w:lang w:val="en-US"/>
        </w:rPr>
        <w:t>88-112.</w:t>
      </w:r>
    </w:p>
  </w:footnote>
  <w:footnote w:id="118">
    <w:p w14:paraId="757967A8" w14:textId="77777777" w:rsidR="00CD0E06" w:rsidRPr="007C2C0F" w:rsidRDefault="00CD0E06" w:rsidP="00F073C0">
      <w:pPr>
        <w:pStyle w:val="FootnoteText"/>
        <w:rPr>
          <w:lang w:val="en-US"/>
        </w:rPr>
      </w:pPr>
      <w:r>
        <w:rPr>
          <w:rStyle w:val="FootnoteReference"/>
        </w:rPr>
        <w:footnoteRef/>
      </w:r>
      <w:r>
        <w:t xml:space="preserve"> </w:t>
      </w:r>
      <w:bookmarkStart w:id="68" w:name="_Hlk217413946"/>
      <w:r w:rsidRPr="007C2C0F">
        <w:rPr>
          <w:lang w:val="en-US"/>
        </w:rPr>
        <w:t xml:space="preserve">Baker, D., &amp; Evans, C. (2023). Comparative analysis of online arbitration vs. traditional arbitration: Legal and practical implications. Global Arbitration Review, 37(2), </w:t>
      </w:r>
      <w:bookmarkEnd w:id="68"/>
      <w:r w:rsidRPr="007C2C0F">
        <w:rPr>
          <w:lang w:val="en-US"/>
        </w:rPr>
        <w:t>112-135.</w:t>
      </w:r>
    </w:p>
  </w:footnote>
  <w:footnote w:id="119">
    <w:p w14:paraId="4D8A9277"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Davis, M. (2022). Legal recognition of blockchain-based arbitration awards: A comparative study. Global Law Review, 41(3), 211-234.</w:t>
      </w:r>
    </w:p>
  </w:footnote>
  <w:footnote w:id="120">
    <w:p w14:paraId="5821B193"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Moses, M. L. (2017). The principles and practice of international commercial arbitration. Cambridge University Press.</w:t>
      </w:r>
    </w:p>
  </w:footnote>
  <w:footnote w:id="121">
    <w:p w14:paraId="1FA64625"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Rabinovich-Einy, O., &amp; Katsh, E. (2021). Artificial intelligence and the future of dispute resolution: the Age of AI-DR. Orna Rabinovich-Einy and Ethan Katsh, “Artificial Intelligence and the Future of Dispute Resolution: The Age of AI-DR” in Online Dispute Resolution: Theory and Practice. Eleven International Publishing, 1(1), 15-95.</w:t>
      </w:r>
    </w:p>
  </w:footnote>
  <w:footnote w:id="122">
    <w:p w14:paraId="48DDC8F1"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Schultz, T., &amp; Ortino, F. (2020). The Oxford Handbook of International Arbitration. (1 ed.). London: Oxford University Press</w:t>
      </w:r>
    </w:p>
  </w:footnote>
  <w:footnote w:id="123">
    <w:p w14:paraId="7F7294AC"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Schmitz, A. (2022). Ordering Online Arbitration in the Age of COVID-19… and Beyond. In The Impact of Covid on International Disputes, 1(1), 182-195; DOI: 10.1163/9789004514836_011.</w:t>
      </w:r>
    </w:p>
  </w:footnote>
  <w:footnote w:id="124">
    <w:p w14:paraId="69BE837E"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Reyes, A., &amp; Gu, W. (2021). Multi-tier Approaches to the Resolution of International Disputes: A Global and Comparative Study (1 ed.). London: Cambridge University Press.</w:t>
      </w:r>
    </w:p>
  </w:footnote>
  <w:footnote w:id="125">
    <w:p w14:paraId="4CC76019"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Rabinovich-Einy, O., &amp; Katsh, E. (2021). Artificial intelligence and the future of dispute resolution: the Age of AI-DR. Orna Rabinovich-Einy and Ethan Katsh, “Artificial Intelligence and the Future of Dispute Resolution: The Age of AI-DR” in Online Dispute Resolution: Theory and Practice. Eleven International Publishing, 1(1), 15-95.</w:t>
      </w:r>
    </w:p>
  </w:footnote>
  <w:footnote w:id="126">
    <w:p w14:paraId="17BE8B6E" w14:textId="77777777" w:rsidR="00CD0E06" w:rsidRPr="007C2C0F" w:rsidRDefault="00CD0E06" w:rsidP="00F073C0">
      <w:pPr>
        <w:pStyle w:val="FootnoteText"/>
        <w:rPr>
          <w:lang w:val="en-US"/>
        </w:rPr>
      </w:pPr>
      <w:r>
        <w:rPr>
          <w:rStyle w:val="FootnoteReference"/>
        </w:rPr>
        <w:footnoteRef/>
      </w:r>
      <w:r>
        <w:t xml:space="preserve"> </w:t>
      </w:r>
      <w:bookmarkStart w:id="73" w:name="_Hlk217414067"/>
      <w:r w:rsidRPr="007C2C0F">
        <w:rPr>
          <w:lang w:val="en-US"/>
        </w:rPr>
        <w:t xml:space="preserve">O’Connor, P. (2023). The role of smart contracts in online arbitration. Journal of Digital Law, 29(2), </w:t>
      </w:r>
      <w:bookmarkEnd w:id="73"/>
      <w:r w:rsidRPr="007C2C0F">
        <w:rPr>
          <w:lang w:val="en-US"/>
        </w:rPr>
        <w:t>99-123.</w:t>
      </w:r>
    </w:p>
  </w:footnote>
  <w:footnote w:id="127">
    <w:p w14:paraId="03F7C777"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 xml:space="preserve">Muhammad, M. R. R. (2015). The significance of building information </w:t>
      </w:r>
      <w:r>
        <w:rPr>
          <w:lang w:val="en-US"/>
        </w:rPr>
        <w:t>modelling</w:t>
      </w:r>
      <w:r w:rsidRPr="007C2C0F">
        <w:rPr>
          <w:lang w:val="en-US"/>
        </w:rPr>
        <w:t xml:space="preserve"> to the quantity surveying practices in the UAE construction industry. 6th International Conference on Structural Engineering and Construction Management.</w:t>
      </w:r>
    </w:p>
  </w:footnote>
  <w:footnote w:id="128">
    <w:p w14:paraId="53ABE52A"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 xml:space="preserve">    Mistelis, L. (2006). ADR in England and Wales: A successful case of public-private partnership. In N. M. Alexander (Ed.), Global trends in mediation (p. 160). Wolters Kluwer.</w:t>
      </w:r>
    </w:p>
  </w:footnote>
  <w:footnote w:id="129">
    <w:p w14:paraId="04835A4C"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Martinez, L., &amp; Brown, H. (2025). GDPR compliance in cross-border arbitration: Challenges and best practices. European Arbitration Journal, 43(2), 145-168.</w:t>
      </w:r>
    </w:p>
  </w:footnote>
  <w:footnote w:id="130">
    <w:p w14:paraId="3E2BC783"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 xml:space="preserve">    Mania, K. (2015, October 15). Online dispute resolution: The future of justice. International Comparative Jurisprudence, 1(1), 76–86. Retrieved April 2, 2024, from https://doi.org/10.1016/j.icj.2015.10.006</w:t>
      </w:r>
    </w:p>
  </w:footnote>
  <w:footnote w:id="131">
    <w:p w14:paraId="3091C562"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Garcia, P., &amp; Patel, S. (2023). Blockchain-based arbitration: Ensuring transparency and security in online dispute resolution. International Journal of Law &amp; Technology, 29(4), 187-210.</w:t>
      </w:r>
    </w:p>
  </w:footnote>
  <w:footnote w:id="132">
    <w:p w14:paraId="634DFD71"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Brown, K., &amp; Wilson, R. (2022). Enforceability of online arbitration awards under the New York Convention. Journal of International Arbitration, 39(4), 321-344.</w:t>
      </w:r>
    </w:p>
  </w:footnote>
  <w:footnote w:id="133">
    <w:p w14:paraId="4200C4C6"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 xml:space="preserve">    Dent-Spargo, T. (2018, March 5). Lawyer versus robot. Robotics Law Journal. Retrieved June 27, 2024, from https://roboticslawjournal.com/analysis/lawyer-versus-robot-12590026</w:t>
      </w:r>
    </w:p>
  </w:footnote>
  <w:footnote w:id="134">
    <w:p w14:paraId="3289A8E9"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Baker, D., &amp; Evans, C. (2023). Comparative analysis of online arbitration vs. traditional arbitration: Legal and practical implications. Global Arbitration Review, 37(2), 112-135.</w:t>
      </w:r>
    </w:p>
  </w:footnote>
  <w:footnote w:id="135">
    <w:p w14:paraId="18CB2BE4" w14:textId="77777777" w:rsidR="00157A6B" w:rsidRDefault="00157A6B" w:rsidP="00157A6B">
      <w:pPr>
        <w:pStyle w:val="FootnoteText"/>
        <w:rPr>
          <w:lang w:val="en-US"/>
        </w:rPr>
      </w:pPr>
      <w:r>
        <w:rPr>
          <w:rStyle w:val="FootnoteReference"/>
        </w:rPr>
        <w:footnoteRef/>
      </w:r>
      <w:r>
        <w:rPr>
          <w:lang w:val="en-US"/>
        </w:rPr>
        <w:t xml:space="preserve"> </w:t>
      </w:r>
      <w:r>
        <w:t xml:space="preserve">White &amp; Case, &amp; Queen Mary University of London. (2025). </w:t>
      </w:r>
      <w:r>
        <w:rPr>
          <w:rStyle w:val="Emphasis"/>
          <w:rFonts w:ascii="Arial" w:hAnsi="Arial" w:cs="Arial"/>
        </w:rPr>
        <w:t>2025 international arbitration survey: The path forward</w:t>
      </w:r>
      <w:r>
        <w:t xml:space="preserve">. whitecase.com and Baker McKenzie. (2022). </w:t>
      </w:r>
      <w:r>
        <w:rPr>
          <w:rStyle w:val="Emphasis"/>
          <w:rFonts w:ascii="Arial" w:hAnsi="Arial" w:cs="Arial"/>
        </w:rPr>
        <w:t>The year ahead: Global disputes forecast 2022</w:t>
      </w:r>
      <w:r>
        <w:t>. bakermenzie.com</w:t>
      </w:r>
    </w:p>
  </w:footnote>
  <w:footnote w:id="136">
    <w:p w14:paraId="51CD2218" w14:textId="77777777" w:rsidR="00CD0E06" w:rsidRPr="006C0CA4" w:rsidRDefault="00CD0E06" w:rsidP="006C0CA4">
      <w:pPr>
        <w:pStyle w:val="FootnoteText"/>
        <w:rPr>
          <w:rStyle w:val="FootnoteReference"/>
        </w:rPr>
      </w:pPr>
      <w:r>
        <w:rPr>
          <w:rStyle w:val="FootnoteReference"/>
        </w:rPr>
        <w:footnoteRef/>
      </w:r>
      <w:r w:rsidRPr="006C0CA4">
        <w:rPr>
          <w:rStyle w:val="FootnoteReference"/>
        </w:rPr>
        <w:t xml:space="preserve"> Zlatanska, E. (2015). "To Publish or Not to Publish Arbitral Awards: That Is the Question." The American Review of International Arbitration, 26(1), 71-93.</w:t>
      </w:r>
    </w:p>
    <w:p w14:paraId="2E0741B8" w14:textId="3BAF5E9B" w:rsidR="00CD0E06" w:rsidRDefault="00CD0E06" w:rsidP="00987C1D">
      <w:pPr>
        <w:pStyle w:val="FootnoteText"/>
        <w:rPr>
          <w:lang w:val="en-US"/>
        </w:rPr>
      </w:pPr>
    </w:p>
  </w:footnote>
  <w:footnote w:id="137">
    <w:p w14:paraId="65E106A1" w14:textId="77777777" w:rsidR="00CD0E06" w:rsidRPr="006C0CA4" w:rsidRDefault="00CD0E06" w:rsidP="006C0CA4">
      <w:pPr>
        <w:pStyle w:val="FootnoteText"/>
        <w:rPr>
          <w:rStyle w:val="FootnoteReference"/>
        </w:rPr>
      </w:pPr>
      <w:r>
        <w:rPr>
          <w:rStyle w:val="FootnoteReference"/>
        </w:rPr>
        <w:footnoteRef/>
      </w:r>
      <w:r w:rsidRPr="006C0CA4">
        <w:rPr>
          <w:rStyle w:val="FootnoteReference"/>
        </w:rPr>
        <w:t xml:space="preserve"> Zamoff, S. (2022). "Confidentiality in Arbitration: The Intersection with Court Proceedings." Arbitration International, 38(2), 213-230.</w:t>
      </w:r>
    </w:p>
    <w:p w14:paraId="465ECFA6" w14:textId="2B1F2BD3" w:rsidR="00CD0E06" w:rsidRDefault="00CD0E06" w:rsidP="00987C1D">
      <w:pPr>
        <w:pStyle w:val="FootnoteText"/>
        <w:rPr>
          <w:lang w:val="en-US"/>
        </w:rPr>
      </w:pPr>
    </w:p>
  </w:footnote>
  <w:footnote w:id="138">
    <w:p w14:paraId="3935C827" w14:textId="77777777" w:rsidR="00CD0E06" w:rsidRPr="007C2C0F" w:rsidRDefault="00CD0E06" w:rsidP="00F073C0">
      <w:pPr>
        <w:pStyle w:val="FootnoteText"/>
      </w:pPr>
      <w:r>
        <w:rPr>
          <w:rStyle w:val="FootnoteReference"/>
        </w:rPr>
        <w:footnoteRef/>
      </w:r>
      <w:r>
        <w:t xml:space="preserve"> </w:t>
      </w:r>
      <w:r w:rsidRPr="007C2C0F">
        <w:t>Adeleke, F. (2014). Investor-state arbitration and the Public Interest Regulation theory. SSRN. Retrieved from https://papers.ssrn.com/sol3/papers.cfm?abstract_id=2451446</w:t>
      </w:r>
    </w:p>
  </w:footnote>
  <w:footnote w:id="139">
    <w:p w14:paraId="5F4C46D3"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Al-Sharrah, A., &amp; El-Darwiche, A. (2021). Online Arbitration and its Future. Journal of International Commercial Law and Technology, 16(3), 232-249.</w:t>
      </w:r>
    </w:p>
  </w:footnote>
  <w:footnote w:id="140">
    <w:p w14:paraId="0C45F182"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Zegers, J. (2014). Recognition and Enforcement of Foreign Arbitral Awards in Saudi Arabia. BCDR International Arbitration Review, 1(1), 44-56; DOI: 10.54648/bcdr2014006.</w:t>
      </w:r>
    </w:p>
  </w:footnote>
  <w:footnote w:id="141">
    <w:p w14:paraId="724ECE6E"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Tamimi. (2024). Breaking: UAE Ushers in Changes to the Arbitration Law. Retrieved April 03, 2024, from https://www.tamimi.com/news/breaking-uae-ushers-in-changes-to-the-arbitration-law/</w:t>
      </w:r>
    </w:p>
  </w:footnote>
  <w:footnote w:id="142">
    <w:p w14:paraId="545259BB"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Singh, R. (2024). Legal implications of AI in arbitration: Ethical considerations. AI &amp; Law Review, 28(1), 167-189.</w:t>
      </w:r>
    </w:p>
  </w:footnote>
  <w:footnote w:id="143">
    <w:p w14:paraId="764939DD"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Schreuer, C. (2005). Foreign Investment Disputes: Cases Materials and Commentary By r. Doak Bishop, James Crawford and w. Michael Reisman Kluwer (1 ed.). London: Law International.</w:t>
      </w:r>
    </w:p>
  </w:footnote>
  <w:footnote w:id="144">
    <w:p w14:paraId="723DD8CE"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Hawkes, G., Earle, S., &amp; Etchemendy, S. (1986). Dedicated Vehicle: a New Remotely Operated Vehicle Specifically Designed for Support of Exploration Drilling (Vol. 1). London: Graham &amp; Trotman Limited.</w:t>
      </w:r>
    </w:p>
  </w:footnote>
  <w:footnote w:id="145">
    <w:p w14:paraId="49B34B0D"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Harris, T., &amp; Zhou, M. (2024). Regulatory approaches to AI in arbitration: Ethical and legal considerations. International Journal of Law &amp; Ethics, 35(2), 211-232.</w:t>
      </w:r>
    </w:p>
  </w:footnote>
  <w:footnote w:id="146">
    <w:p w14:paraId="7E530111"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Gov. UK. (2024). The Data Protection Act. Retrieved January 17, 2024, from Gov. UK: https://www.gov.uk/data-protection</w:t>
      </w:r>
    </w:p>
  </w:footnote>
  <w:footnote w:id="147">
    <w:p w14:paraId="515CF717" w14:textId="77777777" w:rsidR="00CD0E06" w:rsidRPr="007C2C0F" w:rsidRDefault="00CD0E06" w:rsidP="00F073C0">
      <w:pPr>
        <w:pStyle w:val="FootnoteText"/>
        <w:rPr>
          <w:lang w:val="en-US"/>
        </w:rPr>
      </w:pPr>
      <w:r>
        <w:rPr>
          <w:rStyle w:val="FootnoteReference"/>
        </w:rPr>
        <w:footnoteRef/>
      </w:r>
      <w:r>
        <w:t xml:space="preserve"> </w:t>
      </w:r>
      <w:bookmarkStart w:id="74" w:name="_Hlk217414273"/>
      <w:r w:rsidRPr="007C2C0F">
        <w:rPr>
          <w:lang w:val="en-US"/>
        </w:rPr>
        <w:t xml:space="preserve">Katsh, E., &amp; Rule, C. (2015). What we know and need to know about online dispute resolution. South Carolina Law Review, 67(2), </w:t>
      </w:r>
      <w:bookmarkEnd w:id="74"/>
      <w:r w:rsidRPr="007C2C0F">
        <w:rPr>
          <w:lang w:val="en-US"/>
        </w:rPr>
        <w:t>329–368.</w:t>
      </w:r>
    </w:p>
  </w:footnote>
  <w:footnote w:id="148">
    <w:p w14:paraId="76800864"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Garcia, P., &amp; Patel, S. (2023). Blockchain-based arbitration: Ensuring transparency and security in online dispute resolution. International Journal of Law &amp; Technology, 29(4), 187-210.</w:t>
      </w:r>
    </w:p>
  </w:footnote>
  <w:footnote w:id="149">
    <w:p w14:paraId="28CED8C5"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International Islamic Centre for Reconciliation and Arbitration (IICRA), Official Website. Available at: https://www.iicra.com</w:t>
      </w:r>
    </w:p>
  </w:footnote>
  <w:footnote w:id="150">
    <w:p w14:paraId="225EBB89" w14:textId="77777777" w:rsidR="00CD0E06" w:rsidRPr="007C2C0F" w:rsidRDefault="00CD0E06" w:rsidP="00F073C0">
      <w:pPr>
        <w:pStyle w:val="FootnoteText"/>
        <w:rPr>
          <w:lang w:val="en-US"/>
        </w:rPr>
      </w:pPr>
      <w:r>
        <w:rPr>
          <w:rStyle w:val="FootnoteReference"/>
        </w:rPr>
        <w:footnoteRef/>
      </w:r>
      <w:r>
        <w:t xml:space="preserve"> </w:t>
      </w:r>
      <w:bookmarkStart w:id="75" w:name="_Hlk217414385"/>
      <w:r w:rsidRPr="007C2C0F">
        <w:rPr>
          <w:lang w:val="en-US"/>
        </w:rPr>
        <w:t xml:space="preserve">Levine, M. E., &amp; Forrence, J. L. (1990). Regulatory capture, public interest, and the public agenda: Toward a synthesis. Journal of Law, Economics, and </w:t>
      </w:r>
      <w:r>
        <w:rPr>
          <w:lang w:val="en-US"/>
        </w:rPr>
        <w:t>Organisation</w:t>
      </w:r>
      <w:r w:rsidRPr="007C2C0F">
        <w:rPr>
          <w:lang w:val="en-US"/>
        </w:rPr>
        <w:t>, 6(1), 167–197.</w:t>
      </w:r>
      <w:bookmarkEnd w:id="75"/>
    </w:p>
  </w:footnote>
  <w:footnote w:id="151">
    <w:p w14:paraId="274D3290"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 xml:space="preserve">    Ruckteschler, D., &amp; Stooss, T. (2019). International commercial courts: A superior alternative to arbitration? Journal of International Arbitration, 36(4), 431–449. Retrieved April 15, 2024, from https://doi.org/10.54648/joia2019022</w:t>
      </w:r>
    </w:p>
  </w:footnote>
  <w:footnote w:id="152">
    <w:p w14:paraId="57999634" w14:textId="77777777" w:rsidR="00CD0E06" w:rsidRPr="007C2C0F" w:rsidRDefault="00CD0E06" w:rsidP="00F073C0">
      <w:pPr>
        <w:pStyle w:val="FootnoteText"/>
        <w:rPr>
          <w:lang w:val="en-US"/>
        </w:rPr>
      </w:pPr>
      <w:r>
        <w:rPr>
          <w:rStyle w:val="FootnoteReference"/>
        </w:rPr>
        <w:footnoteRef/>
      </w:r>
      <w:r>
        <w:t xml:space="preserve"> </w:t>
      </w:r>
      <w:bookmarkStart w:id="76" w:name="_Hlk217414412"/>
      <w:r w:rsidRPr="007C2C0F">
        <w:rPr>
          <w:lang w:val="en-US"/>
        </w:rPr>
        <w:t>Nguyen, V., &amp; White, S. (2025). AI-powered arbitration: Future trends and challenges. Law &amp; Technology Journal, 38(4), 256-278.</w:t>
      </w:r>
      <w:bookmarkEnd w:id="76"/>
    </w:p>
  </w:footnote>
  <w:footnote w:id="153">
    <w:p w14:paraId="3A242534"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 xml:space="preserve">    Kaufmann-Kohler, G. (2005). Online dispute resolution and its significance for international commercial arbitration. In G. Aksen et al. (Eds.), Global reflections on international law, commerce and dispute resolution: Liber amicorum in honour of Robert Briner (pp. 440–445). ICC Publishing.</w:t>
      </w:r>
    </w:p>
  </w:footnote>
  <w:footnote w:id="154">
    <w:p w14:paraId="17B40D57" w14:textId="77777777" w:rsidR="00CD0E06" w:rsidRPr="007C2C0F" w:rsidRDefault="00CD0E06" w:rsidP="00F073C0">
      <w:pPr>
        <w:pStyle w:val="FootnoteText"/>
        <w:rPr>
          <w:lang w:val="en-US"/>
        </w:rPr>
      </w:pPr>
      <w:r>
        <w:rPr>
          <w:rStyle w:val="FootnoteReference"/>
        </w:rPr>
        <w:footnoteRef/>
      </w:r>
      <w:r>
        <w:t xml:space="preserve"> </w:t>
      </w:r>
      <w:bookmarkStart w:id="77" w:name="_Hlk217414436"/>
      <w:r w:rsidRPr="007C2C0F">
        <w:rPr>
          <w:lang w:val="en-US"/>
        </w:rPr>
        <w:t>Katsh, E., &amp; Rule, C. (2015). What we know and need to know about online dispute resolution. South Carolina Law Review, 67(2), 329–368.</w:t>
      </w:r>
      <w:bookmarkEnd w:id="77"/>
    </w:p>
  </w:footnote>
  <w:footnote w:id="155">
    <w:p w14:paraId="71708716"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Gibson, P., &amp; Clark, S. (2023). The role of data privacy laws in international arbitration: A comparative analysis. Data Protection Law Review, 52(1), 89-112.</w:t>
      </w:r>
    </w:p>
  </w:footnote>
  <w:footnote w:id="156">
    <w:p w14:paraId="04FB57F3"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Evans, B. (2021). Hybrid arbitration models: Merging AI with human decision-making. Global Arbitration Journal, 36(2), 134-158.</w:t>
      </w:r>
    </w:p>
  </w:footnote>
  <w:footnote w:id="157">
    <w:p w14:paraId="3969A99E"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Clark, J., &amp; Foster, E. (2022). Virtual hearings and due process concerns in online arbitration. Arbitration Law Journal, 33(5), 267-290.</w:t>
      </w:r>
    </w:p>
  </w:footnote>
  <w:footnote w:id="158">
    <w:p w14:paraId="259CEFE9"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Brown, K., &amp; Wilson, R. (2022). Enforceability of online arbitration awards under the New York Convention. Journal of International Arbitration, 39(4), 321-344.</w:t>
      </w:r>
    </w:p>
  </w:footnote>
  <w:footnote w:id="159">
    <w:p w14:paraId="10AC8B80" w14:textId="77777777" w:rsidR="00CD0E06" w:rsidRPr="007C2C0F" w:rsidRDefault="00CD0E06" w:rsidP="00F073C0">
      <w:pPr>
        <w:pStyle w:val="FootnoteText"/>
        <w:rPr>
          <w:lang w:val="en-US"/>
        </w:rPr>
      </w:pPr>
      <w:r>
        <w:rPr>
          <w:rStyle w:val="FootnoteReference"/>
        </w:rPr>
        <w:footnoteRef/>
      </w:r>
      <w:r>
        <w:t xml:space="preserve"> </w:t>
      </w:r>
      <w:r w:rsidRPr="007C2C0F">
        <w:rPr>
          <w:lang w:val="en-US"/>
        </w:rPr>
        <w:t xml:space="preserve">    Bozkurt Yüksel, A. E. (2007, Summer). Online international arbitration. Ankara Law Review, 4(1), 83–93. Retrieved April 4, </w:t>
      </w:r>
      <w:r>
        <w:rPr>
          <w:lang w:val="en-US"/>
        </w:rPr>
        <w:t>2025</w:t>
      </w:r>
      <w:r w:rsidRPr="007C2C0F">
        <w:rPr>
          <w:lang w:val="en-US"/>
        </w:rPr>
        <w:t>, from https://doi.org/10.1501/lawrev_0000000041</w:t>
      </w:r>
    </w:p>
  </w:footnote>
  <w:footnote w:id="160">
    <w:p w14:paraId="46705669"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Arterburn, D. E., Crane, P. K., &amp; Sullivan, S. D. (2004). The Coming Epidemic of Obesity in Elderly Americans. Journal of the American Geriatrics Society, 52(11), 1907–1912. https://doi.org/10.1111/j.1532-5415.2004.52517.x</w:t>
      </w:r>
    </w:p>
  </w:footnote>
  <w:footnote w:id="161">
    <w:p w14:paraId="5EAFDABA"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Adeleke, F. (2014). Investor-state arbitration and the Public Interest Regulation theory. SSRN. Retrieved from https://papers.ssrn.com/sol3/papers.cfm?abstract_id=2451446</w:t>
      </w:r>
    </w:p>
  </w:footnote>
  <w:footnote w:id="162">
    <w:p w14:paraId="1B66F095"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Berger, K. (2007). Private dispute resolution in international business (1 ed.). London: Transnational Dispute Management (TDM).</w:t>
      </w:r>
    </w:p>
  </w:footnote>
  <w:footnote w:id="163">
    <w:p w14:paraId="572843E4" w14:textId="77777777" w:rsidR="00CD0E06" w:rsidRPr="00BA19CE" w:rsidRDefault="00CD0E06" w:rsidP="00F073C0">
      <w:pPr>
        <w:pStyle w:val="FootnoteText"/>
        <w:rPr>
          <w:lang w:val="en-US"/>
        </w:rPr>
      </w:pPr>
      <w:r>
        <w:rPr>
          <w:rStyle w:val="FootnoteReference"/>
        </w:rPr>
        <w:footnoteRef/>
      </w:r>
      <w:r>
        <w:t xml:space="preserve"> </w:t>
      </w:r>
      <w:r w:rsidRPr="00BA19CE">
        <w:t>Dylag, M., &amp; Smith, H. (2021). From cryptocurrencies to cryptocourts: Blockchain and the financialization of dispute resolution platforms. Information, Communication &amp; Society, 1(1), 1–23.</w:t>
      </w:r>
      <w:r>
        <w:rPr>
          <w:lang w:val="en-US"/>
        </w:rPr>
        <w:t xml:space="preserve"> </w:t>
      </w:r>
    </w:p>
  </w:footnote>
  <w:footnote w:id="164">
    <w:p w14:paraId="3EC171C5"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Giupponi, B. (2022). “Virtual” Dispute Resolution in International Arbitration: Mapping Its Advantages and Main Caveats in the Face of COVID-19. In The Impact of Covid on International Disputes, 62-83; DOI: 10.1163/9789004514836_005.</w:t>
      </w:r>
    </w:p>
  </w:footnote>
  <w:footnote w:id="165">
    <w:p w14:paraId="1E367AA5" w14:textId="77777777" w:rsidR="00CD0E06" w:rsidRPr="00BA19CE" w:rsidRDefault="00CD0E06" w:rsidP="00F073C0">
      <w:pPr>
        <w:pStyle w:val="FootnoteText"/>
        <w:rPr>
          <w:lang w:val="en-US"/>
        </w:rPr>
      </w:pPr>
      <w:r>
        <w:rPr>
          <w:rStyle w:val="FootnoteReference"/>
        </w:rPr>
        <w:footnoteRef/>
      </w:r>
      <w:r>
        <w:t xml:space="preserve"> </w:t>
      </w:r>
      <w:bookmarkStart w:id="86" w:name="_Hlk217414522"/>
      <w:r w:rsidRPr="00BA19CE">
        <w:rPr>
          <w:lang w:val="en-US"/>
        </w:rPr>
        <w:t>Davis, M. (2022). Legal recognition of blockchain-based arbitration awards: A comparative study. Global Law Review, 41(3), 211-234.</w:t>
      </w:r>
      <w:bookmarkEnd w:id="86"/>
    </w:p>
  </w:footnote>
  <w:footnote w:id="166">
    <w:p w14:paraId="2B0BCAE2"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 xml:space="preserve">    Bozkurt Yüksel, A. E. (2007, Summer). Online international arbitration. Ankara Law Review, 4(1), 83–93. Retrieved April 4, 2024, from https://doi.org/10.1501/lawrev_0000000041</w:t>
      </w:r>
    </w:p>
  </w:footnote>
  <w:footnote w:id="167">
    <w:p w14:paraId="7E7309C1"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Baker, D., &amp; Evans, C. (2023). Comparative analysis of online arbitration vs. traditional arbitration: Legal and practical implications. Global Arbitration Review, 37(2), 112-135.</w:t>
      </w:r>
    </w:p>
  </w:footnote>
  <w:footnote w:id="168">
    <w:p w14:paraId="1E4A2029"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Wilson, R. (2024). The impact of digital evidence on arbitration proceedings: Challenges and opportunities. Journal of Evidence Law, 36(1), 88-112.</w:t>
      </w:r>
    </w:p>
  </w:footnote>
  <w:footnote w:id="169">
    <w:p w14:paraId="1CC07FDE"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Verbeck, J. (2010 ). International Arbitration Practice in Europe: Anti-Suit Injunctions. YB on Int'l Arb, 1(1), 185.</w:t>
      </w:r>
    </w:p>
  </w:footnote>
  <w:footnote w:id="170">
    <w:p w14:paraId="1FF61941"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Taylor, M. (2024). The role of UNCITRAL in developing digital arbitration frameworks. Journal of International Trade Law, 39(4), 177-202.</w:t>
      </w:r>
    </w:p>
  </w:footnote>
  <w:footnote w:id="171">
    <w:p w14:paraId="3F338F88"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Singh, R. (2024). Legal implications of AI in arbitration: Ethical considerations. AI &amp; Law Review, 28(1), 167-189.</w:t>
      </w:r>
    </w:p>
  </w:footnote>
  <w:footnote w:id="172">
    <w:p w14:paraId="381621BC"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Schultz, T., &amp; Ortino, F. (2020). The Oxford Handbook of International Arbitration. (1 ed.). London: Oxford University Press</w:t>
      </w:r>
    </w:p>
  </w:footnote>
  <w:footnote w:id="173">
    <w:p w14:paraId="4418EE28"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Schreuer, C. (2005). Foreign Investment Disputes: Cases Materials and Commentary By r. Doak Bishop, James Crawford and w. Michael Reisman Kluwer (1 ed.). London: Law International.</w:t>
      </w:r>
    </w:p>
  </w:footnote>
  <w:footnote w:id="174">
    <w:p w14:paraId="0B754B9A"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Rule, C. (2002). Online dispute resolution for business: B2B, e-commerce. Consumer, employment, insurance, and other commercial conflicts.</w:t>
      </w:r>
    </w:p>
  </w:footnote>
  <w:footnote w:id="175">
    <w:p w14:paraId="2DE208F8"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Rabinovich-Einy, O., &amp; Katsh, E. (2019). Blockchain and the inevitability of disputes: The role for online dispute resolution. Journal of Dispute Resolution, 47(1), 1–20.</w:t>
      </w:r>
    </w:p>
  </w:footnote>
  <w:footnote w:id="176">
    <w:p w14:paraId="537EEA82"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Moses, M. L. (2017). The principles and practice of international commercial arbitration. Cambridge University Press.</w:t>
      </w:r>
    </w:p>
  </w:footnote>
  <w:footnote w:id="177">
    <w:p w14:paraId="46F763F4"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Moosa, I. A. (2016). Good regulation, bad regulation: The anatomy of financial regulation. Springer.</w:t>
      </w:r>
    </w:p>
  </w:footnote>
  <w:footnote w:id="178">
    <w:p w14:paraId="1BC2629B"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 xml:space="preserve">Muhammad, M. R. R. (2015). The significance of building information </w:t>
      </w:r>
      <w:r>
        <w:rPr>
          <w:lang w:val="en-US"/>
        </w:rPr>
        <w:t>modelling</w:t>
      </w:r>
      <w:r w:rsidRPr="00BA19CE">
        <w:rPr>
          <w:lang w:val="en-US"/>
        </w:rPr>
        <w:t xml:space="preserve"> to the quantity surveying practices in the UAE construction industry. 6th International Conference on Structural Engineering and Construction Management.</w:t>
      </w:r>
    </w:p>
  </w:footnote>
  <w:footnote w:id="179">
    <w:p w14:paraId="0B4D9B6B"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Martinez, L., &amp; Brown, H. (2025). GDPR compliance in cross-border arbitration: Challenges and best practices. European Arbitration Journal, 43(2), 145-168.</w:t>
      </w:r>
    </w:p>
  </w:footnote>
  <w:footnote w:id="180">
    <w:p w14:paraId="3B5019CF"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Koulu, R. (2016). Blockchains and online dispute resolution: Smart contracts as an alternative to enforcement. Journal of Dispute Resolution, 13(2), 1–25.</w:t>
      </w:r>
    </w:p>
  </w:footnote>
  <w:footnote w:id="181">
    <w:p w14:paraId="0AFAEE0C"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Hawkes, G., Earle, S., &amp; Etchemendy, S. (1986). Dedicated Vehicle: a New Remotely Operated Vehicle Specifically Designed for Support of Exploration Drilling (Vol. 1). London: Graham &amp; Trotman Limited.</w:t>
      </w:r>
    </w:p>
  </w:footnote>
  <w:footnote w:id="182">
    <w:p w14:paraId="578AFFA6"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Giupponi, B. (2022). “Virtual” Dispute Resolution in International Arbitration: Mapping Its Advantages and Main Caveats in the Face of COVID-19. In The Impact of Covid on International Disputes, 62-83; DOI: 10.1163/9789004514836_005.</w:t>
      </w:r>
    </w:p>
  </w:footnote>
  <w:footnote w:id="183">
    <w:p w14:paraId="0A7E737A"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 xml:space="preserve">    Danziger, S., Levav, J., &amp; Avnaim-Pesso, L. (2011, April 26). Extraneous factors in judicial decisions. Proceedings of the National Academy of Sciences of the United States of America, 108(17), 6889–6892. Retrieved May 7, </w:t>
      </w:r>
      <w:r>
        <w:rPr>
          <w:lang w:val="en-US"/>
        </w:rPr>
        <w:t>2025</w:t>
      </w:r>
      <w:r w:rsidRPr="00BA19CE">
        <w:rPr>
          <w:lang w:val="en-US"/>
        </w:rPr>
        <w:t>, from https://www.pnas.org/content/108/17/6889</w:t>
      </w:r>
    </w:p>
  </w:footnote>
  <w:footnote w:id="184">
    <w:p w14:paraId="3020BF93"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 xml:space="preserve">    Cohen, P., &amp; Nappert, S. (2018). Case study: The practitioner’s perspective. In M. Piers &amp; C. Aschauer (Eds.), Arbitration in the digital age: The brave new world of arbitration (pp. 126–148). Cambridge University Press.</w:t>
      </w:r>
    </w:p>
  </w:footnote>
  <w:footnote w:id="185">
    <w:p w14:paraId="73624357"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Carr, K. (2025). Security gaps in online arbitration platforms and potential solutions. Cybersecurity Law Review, 48(1), 98-122.</w:t>
      </w:r>
    </w:p>
  </w:footnote>
  <w:footnote w:id="186">
    <w:p w14:paraId="1BBE51C0"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Baldwin, R., Cave, M., &amp; Lodge, M. (2011). Understanding regulation: Theory, strategy, and practice. Oxford University Press.</w:t>
      </w:r>
    </w:p>
  </w:footnote>
  <w:footnote w:id="187">
    <w:p w14:paraId="6F52F103"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ALKETBI, H. (2021). Arbitrators Appointment: Process, Challenges and Remedies (Doctoral dissertation. The British University in Dubai (BUiD)), 1(1), 14-96.</w:t>
      </w:r>
    </w:p>
  </w:footnote>
  <w:footnote w:id="188">
    <w:p w14:paraId="5BF4FE1E"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Arterburn, D. E., Crane, P. K., &amp; Sullivan, S. D. (2004). The Coming Epidemic of Obesity in Elderly Americans. Journal of the American Geriatrics Society, 52(11), 1907–1912. https://doi.org/10.1111/j.1532-5415.2004.52517.x</w:t>
      </w:r>
    </w:p>
  </w:footnote>
  <w:footnote w:id="189">
    <w:p w14:paraId="60C5B2D1"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Berger, K. (2007). Private dispute resolution in international business (1 ed.). London: Transnational Dispute Management (TDM).</w:t>
      </w:r>
    </w:p>
  </w:footnote>
  <w:footnote w:id="190">
    <w:p w14:paraId="1B69E7AD" w14:textId="77777777" w:rsidR="00CD0E06" w:rsidRPr="00BA19CE" w:rsidRDefault="00CD0E06" w:rsidP="00F073C0">
      <w:pPr>
        <w:pStyle w:val="FootnoteText"/>
        <w:rPr>
          <w:lang w:val="en-US"/>
        </w:rPr>
      </w:pPr>
      <w:r>
        <w:rPr>
          <w:rStyle w:val="FootnoteReference"/>
        </w:rPr>
        <w:footnoteRef/>
      </w:r>
      <w:r>
        <w:t xml:space="preserve"> </w:t>
      </w:r>
      <w:r w:rsidRPr="00BA19CE">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191">
    <w:p w14:paraId="48E992F7"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Ahmed, S., &amp; Foster, L. (2025). Cybersecurity and confidentiality in online arbitration: A global perspective. International Arbitration Journal, 42(3), 245-267.</w:t>
      </w:r>
    </w:p>
  </w:footnote>
  <w:footnote w:id="192">
    <w:p w14:paraId="43B7F3A2"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193">
    <w:p w14:paraId="030A68E5"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Awwad, R., Barakat, B., &amp; Menassa, C. (2016). Understanding dispute resolution in the Middle East region from perspectives of different stakeholders. Journal of Management in Engineering, 32(5), 5016019.</w:t>
      </w:r>
    </w:p>
  </w:footnote>
  <w:footnote w:id="194">
    <w:p w14:paraId="4166C0E7"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Singh, R. (2024). Legal implications of AI in arbitration: Ethical considerations. AI &amp; Law Review, 28(1), 167-189.</w:t>
      </w:r>
    </w:p>
  </w:footnote>
  <w:footnote w:id="195">
    <w:p w14:paraId="1E03421A"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Tamimi. (2024). Breaking: UAE Ushers in Changes to the Arbitration Law. Retrieved April 03, 2024, from https://www.tamimi.com/news/breaking-uae-ushers-in-changes-to-the-arbitration-law/</w:t>
      </w:r>
    </w:p>
  </w:footnote>
  <w:footnote w:id="196">
    <w:p w14:paraId="7E0BA44D"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Wilson, A. (2022). Cybersecurity risks in online arbitration: Protecting confidentiality and data integrity. Cyber Law Journal, 33(2), 175-198.</w:t>
      </w:r>
    </w:p>
  </w:footnote>
  <w:footnote w:id="197">
    <w:p w14:paraId="1FAB1B68"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Taylor, M. (2024). The role of UNCITRAL in developing digital arbitration frameworks. Journal of International Trade Law, 39(4), 177-202.</w:t>
      </w:r>
    </w:p>
  </w:footnote>
  <w:footnote w:id="198">
    <w:p w14:paraId="02471AF5"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 xml:space="preserve">    Soares, F. U. (2018). New technologies and arbitration. Indian Journal of Arbitration Law, 7(1). Retrieved July 12, 2024, from http://ijal.in/sites/default/files/IJAL_Volume_7_Issue_1_Francisco_Uribarri_Soares.pdf</w:t>
      </w:r>
    </w:p>
  </w:footnote>
  <w:footnote w:id="199">
    <w:p w14:paraId="7CE1E8FD"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 xml:space="preserve">    Ruckteschler, D., &amp; Stooss, T. (2019). International commercial courts: A superior alternative to arbitration? Journal of International Arbitration, 36(4), 431–449. Retrieved April 15, 2024, from https://doi.org/10.54648/joia2019022</w:t>
      </w:r>
    </w:p>
  </w:footnote>
  <w:footnote w:id="200">
    <w:p w14:paraId="01B436C4"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Rickard, E., &amp; Naqui, Q. (2021). How well does online dispute resolution help resolve lawsuits outside the courtroom? Civil Legal System Modernization, 1(1), 1–23.</w:t>
      </w:r>
    </w:p>
  </w:footnote>
  <w:footnote w:id="201">
    <w:p w14:paraId="79A5A330"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O’Connor, P. (2023). The role of smart contracts in online arbitration. Journal of Digital Law, 29(2), 99-123.</w:t>
      </w:r>
    </w:p>
  </w:footnote>
  <w:footnote w:id="202">
    <w:p w14:paraId="62726C29"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Nguyen, V., &amp; White, S. (2025). AI-powered arbitration: Future trends and challenges. Law &amp; Technology Journal, 38(4), 256-278.</w:t>
      </w:r>
    </w:p>
  </w:footnote>
  <w:footnote w:id="203">
    <w:p w14:paraId="5AAC5E40"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Mania, K. (2015). Online dispute resolution: The future of justice. International Comparative Jurisprudence, 1(1), 76-86; DOI: 10.1016/j.icj.2015.10.006.</w:t>
      </w:r>
    </w:p>
  </w:footnote>
  <w:footnote w:id="204">
    <w:p w14:paraId="21A892AC"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 xml:space="preserve">Levine, M. E., &amp; Forrence, J. L. (1990). Regulatory capture, public interest, and the public agenda: Toward a synthesis. Journal of Law, Economics, and </w:t>
      </w:r>
      <w:r>
        <w:rPr>
          <w:lang w:val="en-US"/>
        </w:rPr>
        <w:t>Organisation</w:t>
      </w:r>
      <w:r w:rsidRPr="00FC58E4">
        <w:rPr>
          <w:lang w:val="en-US"/>
        </w:rPr>
        <w:t>, 6(1), 167–197.</w:t>
      </w:r>
    </w:p>
  </w:footnote>
  <w:footnote w:id="205">
    <w:p w14:paraId="5B0F86A8"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Katsh, E., &amp; Rule, C. (2015). What we know and need to know about online dispute resolution. South Carolina Law Review, 67(2), 329–368.</w:t>
      </w:r>
    </w:p>
  </w:footnote>
  <w:footnote w:id="206">
    <w:p w14:paraId="7DADC161"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 xml:space="preserve">    Gay, A. (2020, February 12). The inevitable collision between AI and law of arbitration. Law360 Canada. Retrieved July 12, 2024, from https://www.law360.ca/ca/articles/1750462/the-inevitable-collision-between-ai-and-law-of-arbitration</w:t>
      </w:r>
    </w:p>
  </w:footnote>
  <w:footnote w:id="207">
    <w:p w14:paraId="0DE0AB17"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Harris, T., &amp; Zhou, M. (2024). Artificial intelligence in online arbitration: Balancing efficiency and fairness. AI &amp; Law Review, 27(3), 145-169.</w:t>
      </w:r>
    </w:p>
  </w:footnote>
  <w:footnote w:id="208">
    <w:p w14:paraId="7F1046C7"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Dylag, M., &amp; Smith, H. (2021). From cryptocurrencies to cryptocourts: Blockchain and the financialization of dispute resolution platforms. Information, Communication &amp; Society, 1(1), 1–23.</w:t>
      </w:r>
    </w:p>
  </w:footnote>
  <w:footnote w:id="209">
    <w:p w14:paraId="2E782DB1"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de Souza, S. P., Aithala, V., &amp; John, S. (</w:t>
      </w:r>
      <w:r>
        <w:rPr>
          <w:lang w:val="en-US"/>
        </w:rPr>
        <w:t>2021</w:t>
      </w:r>
      <w:r w:rsidRPr="00FC58E4">
        <w:rPr>
          <w:lang w:val="en-US"/>
        </w:rPr>
        <w:t>). The Supreme Court of India’s vision for e-Courts: The need to retain justice as a public service. Retrieved from https://www.thehinducentre.com/publications/policy-watch/article35229520.ece</w:t>
      </w:r>
    </w:p>
  </w:footnote>
  <w:footnote w:id="210">
    <w:p w14:paraId="537D9A45"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 xml:space="preserve">    Cohen, P., &amp; Nappert, S. (2018). Case study: The practitioner’s perspective. In M. Piers &amp; C. Aschauer (Eds.), Arbitration in the digital age: The brave new world of arbitration (pp. 126–148). Cambridge University Press.</w:t>
      </w:r>
    </w:p>
  </w:footnote>
  <w:footnote w:id="211">
    <w:p w14:paraId="14942109"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Carr, K. (2025). Security gaps in online arbitration platforms and potential solutions. Cybersecurity Law Review, 48(1), 98-122.</w:t>
      </w:r>
    </w:p>
  </w:footnote>
  <w:footnote w:id="212">
    <w:p w14:paraId="6DC660F4" w14:textId="77777777" w:rsidR="00157A6B" w:rsidRDefault="00157A6B" w:rsidP="00157A6B">
      <w:pPr>
        <w:pStyle w:val="FootnoteText"/>
        <w:rPr>
          <w:lang w:val="en-US"/>
        </w:rPr>
      </w:pPr>
      <w:r>
        <w:rPr>
          <w:rStyle w:val="FootnoteReference"/>
        </w:rPr>
        <w:footnoteRef/>
      </w:r>
      <w:r>
        <w:rPr>
          <w:lang w:val="en-US"/>
        </w:rPr>
        <w:t xml:space="preserve"> </w:t>
      </w:r>
      <w:r>
        <w:t xml:space="preserve">Federal-Local Judicial Principles Unification Authority. (2025, August 4). </w:t>
      </w:r>
      <w:r>
        <w:rPr>
          <w:rStyle w:val="Emphasis"/>
          <w:rFonts w:ascii="Arial" w:hAnsi="Arial" w:cs="Arial"/>
        </w:rPr>
        <w:t>Decision No. 1 of 2025 (Resolving conflicts between Dubai Court of Cassation Case No. 403/2020, Dubai Court of Cassation Case No. 109/2022, and Ras Al-Khaimah Court of Cassation Case No. 5/2024; issued under Federal Law No. 10 of 2019 on the Organisation of Judicial Relations between the Federal and Local Judiciaries)</w:t>
      </w:r>
      <w:r>
        <w:t>. Ministry of Justice, United Arab Emirates.</w:t>
      </w:r>
    </w:p>
  </w:footnote>
  <w:footnote w:id="213">
    <w:p w14:paraId="2A20E5C4"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Giupponi, B. (2022). “Virtual” Dispute Resolution in International Arbitration: Mapping Its Advantages and Main Caveats in the Face of COVID-19. In The Impact of Covid on International Disputes, 62-83; DOI: 10.1163/9789004514836_005.</w:t>
      </w:r>
    </w:p>
  </w:footnote>
  <w:footnote w:id="214">
    <w:p w14:paraId="2C06A761" w14:textId="77777777" w:rsidR="00157A6B" w:rsidRDefault="00157A6B" w:rsidP="00157A6B">
      <w:pPr>
        <w:pStyle w:val="FootnoteText"/>
        <w:rPr>
          <w:lang w:val="en-US"/>
        </w:rPr>
      </w:pPr>
      <w:r>
        <w:rPr>
          <w:rStyle w:val="FootnoteReference"/>
        </w:rPr>
        <w:footnoteRef/>
      </w:r>
      <w:r>
        <w:rPr>
          <w:lang w:val="en-US"/>
        </w:rPr>
        <w:t xml:space="preserve"> </w:t>
      </w:r>
      <w:r>
        <w:t xml:space="preserve">Born, G. B. (2021). </w:t>
      </w:r>
      <w:r>
        <w:rPr>
          <w:rStyle w:val="Emphasis"/>
          <w:rFonts w:ascii="Arial" w:hAnsi="Arial" w:cs="Arial"/>
        </w:rPr>
        <w:t>International commercial arbitration</w:t>
      </w:r>
      <w:r>
        <w:t xml:space="preserve"> (3rd ed., Chapter 5). Kluwer Law International.</w:t>
      </w:r>
    </w:p>
  </w:footnote>
  <w:footnote w:id="215">
    <w:p w14:paraId="729B1DE0" w14:textId="77777777" w:rsidR="00CD0E06" w:rsidRPr="00FC58E4" w:rsidRDefault="00CD0E06" w:rsidP="00F073C0">
      <w:pPr>
        <w:pStyle w:val="FootnoteText"/>
        <w:rPr>
          <w:lang w:val="en-US"/>
        </w:rPr>
      </w:pPr>
      <w:r>
        <w:rPr>
          <w:rStyle w:val="FootnoteReference"/>
        </w:rPr>
        <w:footnoteRef/>
      </w:r>
      <w:r>
        <w:t xml:space="preserve"> </w:t>
      </w:r>
      <w:r w:rsidRPr="00FC58E4">
        <w:rPr>
          <w:lang w:val="en-US"/>
        </w:rPr>
        <w:t>Dylag, M., &amp; Smith, H. (2021). From cryptocurrencies to cryptocourts: Blockchain and the financialization of dispute resolution platforms. Information, Communication &amp; Society, 1(1), 1–23.</w:t>
      </w:r>
    </w:p>
  </w:footnote>
  <w:footnote w:id="216">
    <w:p w14:paraId="43D61D20" w14:textId="77777777" w:rsidR="00CD0E06" w:rsidRPr="00FC58E4" w:rsidRDefault="00CD0E06" w:rsidP="00F073C0">
      <w:pPr>
        <w:pStyle w:val="FootnoteText"/>
        <w:rPr>
          <w:lang w:val="en-US"/>
        </w:rPr>
      </w:pPr>
      <w:r>
        <w:rPr>
          <w:rStyle w:val="FootnoteReference"/>
        </w:rPr>
        <w:footnoteRef/>
      </w:r>
      <w:r>
        <w:t xml:space="preserve"> </w:t>
      </w:r>
      <w:r w:rsidRPr="004D58F9">
        <w:rPr>
          <w:lang w:val="en-US"/>
        </w:rPr>
        <w:t>Rabinovich-Einy, O., &amp; Katsh, E. (2021). Artificial intelligence and the future of dispute resolution: the Age of AI-DR. Orna Rabinovich-Einy and Ethan Katsh, “Artificial Intelligence and the Future of Dispute Resolution: The Age of AI-DR” in Online Dispute Resolution: Theory and Practice. Eleven International Publishing, 1(1), 15-95.</w:t>
      </w:r>
    </w:p>
  </w:footnote>
  <w:footnote w:id="217">
    <w:p w14:paraId="08282D1E"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 xml:space="preserve">    National </w:t>
      </w:r>
      <w:r>
        <w:rPr>
          <w:lang w:val="en-US"/>
        </w:rPr>
        <w:t>Centre</w:t>
      </w:r>
      <w:r w:rsidRPr="004D58F9">
        <w:rPr>
          <w:lang w:val="en-US"/>
        </w:rPr>
        <w:t xml:space="preserve"> for Technology &amp; Dispute Resolution (NCTDR). (</w:t>
      </w:r>
      <w:r>
        <w:rPr>
          <w:lang w:val="en-US"/>
        </w:rPr>
        <w:t>2024</w:t>
      </w:r>
      <w:r w:rsidRPr="004D58F9">
        <w:rPr>
          <w:lang w:val="en-US"/>
        </w:rPr>
        <w:t>). Ethan Katsh, founder. Amherst, Mass. NCTDR. Retrieved April 4, 2024, from https://odr.info/ethan-katsh/</w:t>
      </w:r>
    </w:p>
  </w:footnote>
  <w:footnote w:id="218">
    <w:p w14:paraId="08579F3C"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Zeleznikow, J. (2016). Can artificial intelligence and online dispute resolution enhance efficiency and effectiveness in courts? International Journal for Court Administration, 8(1), 5–20.</w:t>
      </w:r>
    </w:p>
  </w:footnote>
  <w:footnote w:id="219">
    <w:p w14:paraId="24847147"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Wilson, R. (2024). The impact of digital evidence on arbitration proceedings: Challenges and opportunities. Journal of Evidence Law, 36(1), 88-112.</w:t>
      </w:r>
    </w:p>
  </w:footnote>
  <w:footnote w:id="220">
    <w:p w14:paraId="07FA7847"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Taylor, M. (2024). The role of UNCITRAL in developing digital arbitration frameworks. Journal of International Trade Law, 39(4), 177-202.</w:t>
      </w:r>
    </w:p>
  </w:footnote>
  <w:footnote w:id="221">
    <w:p w14:paraId="2EE4FA36"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222">
    <w:p w14:paraId="215FA8DC"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ALKETBI, H. (2021). Arbitrators Appointment: Process, Challenges and Remedies (</w:t>
      </w:r>
      <w:r>
        <w:rPr>
          <w:lang w:val="en-US"/>
        </w:rPr>
        <w:t>MSc Construction law and dispute resolution</w:t>
      </w:r>
      <w:r w:rsidRPr="00C95AB8">
        <w:t xml:space="preserve"> dissertation</w:t>
      </w:r>
      <w:r w:rsidRPr="004D58F9">
        <w:rPr>
          <w:lang w:val="en-US"/>
        </w:rPr>
        <w:t>. The British University in Dubai (BUiD)), 1(1), 14-96.</w:t>
      </w:r>
    </w:p>
  </w:footnote>
  <w:footnote w:id="223">
    <w:p w14:paraId="6DDDBF15"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Al Tamimi, E. (2021). Practical guide to litigation and arbitration in the United Arab Emirates: A detailed guide to litigation and arbitration in the United Arab Emirates based on federal laws, laws specific to the individual Emirates, judgments delivered by the Court of Cass. Brill.</w:t>
      </w:r>
    </w:p>
  </w:footnote>
  <w:footnote w:id="224">
    <w:p w14:paraId="6EF88D8D"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Arterburn, D. E., Crane, P. K., &amp; Sullivan, S. D. (2004). The Coming Epidemic of Obesity in Elderly Americans. Journal of the American Geriatrics Society, 52(11), 1907–1912. https://doi.org/10.1111/j.1532-5415.2004.52517.x</w:t>
      </w:r>
    </w:p>
  </w:footnote>
  <w:footnote w:id="225">
    <w:p w14:paraId="505B3D0D"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Bakhramova, M. (2022). Procedures and Legal Regulation of Disputes in Online Arbitration. EUROPEAN JOURNAL OF INNOVATION IN NONFORMAL EDUCATION, 2(1), 293-298; ISSN: 2795-8612.</w:t>
      </w:r>
    </w:p>
  </w:footnote>
  <w:footnote w:id="226">
    <w:p w14:paraId="57420C0A" w14:textId="77777777" w:rsidR="00CD0E06" w:rsidRPr="004D58F9" w:rsidRDefault="00CD0E06" w:rsidP="00F073C0">
      <w:pPr>
        <w:pStyle w:val="FootnoteText"/>
      </w:pPr>
      <w:r>
        <w:rPr>
          <w:rStyle w:val="FootnoteReference"/>
        </w:rPr>
        <w:footnoteRef/>
      </w:r>
      <w:r>
        <w:t xml:space="preserve"> </w:t>
      </w:r>
      <w:r w:rsidRPr="004D58F9">
        <w:t>Wilson, R. (2024). The impact of digital evidence on arbitration proceedings: Challenges and opportunities. Journal of Evidence Law, 36(1), 88-112.</w:t>
      </w:r>
    </w:p>
  </w:footnote>
  <w:footnote w:id="227">
    <w:p w14:paraId="1BD4C030"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United Nations Commission on International Trade Law (UNCITRAL) Model Law on International Commercial Arbitration, Available at: https://uncitral.un.org</w:t>
      </w:r>
    </w:p>
  </w:footnote>
  <w:footnote w:id="228">
    <w:p w14:paraId="4BDDC223" w14:textId="77777777" w:rsidR="00CD0E06" w:rsidRPr="004D58F9" w:rsidRDefault="00CD0E06" w:rsidP="00F073C0">
      <w:pPr>
        <w:pStyle w:val="FootnoteText"/>
        <w:rPr>
          <w:rtl/>
          <w:lang w:val="en-US" w:bidi="ar-AE"/>
        </w:rPr>
      </w:pPr>
      <w:r>
        <w:rPr>
          <w:rStyle w:val="FootnoteReference"/>
        </w:rPr>
        <w:footnoteRef/>
      </w:r>
      <w:r>
        <w:t xml:space="preserve"> </w:t>
      </w:r>
      <w:r w:rsidRPr="004D58F9">
        <w:rPr>
          <w:lang w:val="en-US"/>
        </w:rPr>
        <w:t>Tamimi. (2024). Breaking: UAE Ushers in Changes to the Arbitration Law. Retrieved April 03, 2024, from https://www.tamimi.com/news/breaking-uae-ushers-in-changes-to-the-arbitration-law/</w:t>
      </w:r>
    </w:p>
  </w:footnote>
  <w:footnote w:id="229">
    <w:p w14:paraId="156D843F" w14:textId="77777777" w:rsidR="00CD0E06" w:rsidRPr="004D58F9" w:rsidRDefault="00CD0E06" w:rsidP="00F073C0">
      <w:pPr>
        <w:pStyle w:val="FootnoteText"/>
        <w:rPr>
          <w:lang w:val="en-US"/>
        </w:rPr>
      </w:pPr>
      <w:r>
        <w:rPr>
          <w:rStyle w:val="FootnoteReference"/>
        </w:rPr>
        <w:footnoteRef/>
      </w:r>
      <w:r>
        <w:t xml:space="preserve"> </w:t>
      </w:r>
      <w:r w:rsidRPr="004D58F9">
        <w:rPr>
          <w:lang w:val="en-US"/>
        </w:rPr>
        <w:t>Swissarbitration. (2024). Swiss Rules of International Arbitration Practice Note. Retrieved April 03, 2024, from https://www.swissarbitration.org/wp-content/uploads/2023/03/Swiss-Rules-of-International-Arbitration-Practice-Note-27.03.2023.pdf</w:t>
      </w:r>
    </w:p>
  </w:footnote>
  <w:footnote w:id="230">
    <w:p w14:paraId="25771BF6"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 xml:space="preserve">    Soares, F. U. (2018). New technologies and arbitration. Indian Journal of Arbitration Law, 7(1). Retrieved July 12, 2024, from http://ijal.in/sites/default/files/IJAL_Volume_7_Issue_1_Francisco_Uribarri_Soares.pdf</w:t>
      </w:r>
    </w:p>
  </w:footnote>
  <w:footnote w:id="231">
    <w:p w14:paraId="6578733F"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Zeleznikow, J. (2016). Can artificial intelligence and online dispute resolution enhance efficiency and effectiveness in courts? International Journal for Court Administration, 8(1), 5–20.</w:t>
      </w:r>
    </w:p>
  </w:footnote>
  <w:footnote w:id="232">
    <w:p w14:paraId="58EA31A5"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Yeoh, D. (2022). Is online dispute resolution the future of alternative dispute resolution. Online dispute resolution, 1(1), 375-457.</w:t>
      </w:r>
    </w:p>
  </w:footnote>
  <w:footnote w:id="233">
    <w:p w14:paraId="2B7F6727"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Taylor, M. (2024). The role of UNCITRAL in developing digital arbitration frameworks. Journal of International Trade Law, 39(4), 177-202.</w:t>
      </w:r>
    </w:p>
  </w:footnote>
  <w:footnote w:id="234">
    <w:p w14:paraId="51A4FF56"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 xml:space="preserve">    Snider, T. R., &amp; Dilevka, S. (2018, April). Artificial Intelligence and International Arbitration: Going Beyond E-mail. Al Tamimi. Retrieved June 27, 2024, from https://www.tamimi.com/law-update-articles/artificial-intelligence-and-international-arbitration-going-beyond-e-mail/</w:t>
      </w:r>
    </w:p>
  </w:footnote>
  <w:footnote w:id="235">
    <w:p w14:paraId="41E45A9D"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Singh, R. (2024). Legal implications of AI in arbitration: Ethical considerations. AI &amp; Law Review, 28(1), 167-189.</w:t>
      </w:r>
    </w:p>
  </w:footnote>
  <w:footnote w:id="236">
    <w:p w14:paraId="707500BD"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Shwedeh, F., Hami, N., &amp; Baker, S. (2020). March. Effect of leadership style on policy timeliness and performance of smart city in Dubai: a review. In Proceedings of the International Conference on Industrial Engineering and Operations Management, 1(1), 917-922.</w:t>
      </w:r>
    </w:p>
  </w:footnote>
  <w:footnote w:id="237">
    <w:p w14:paraId="53AA4C58"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 xml:space="preserve">    Scherer, M. (2019). International Arbitration 3.0 – How Artificial Intelligence Will Change Dispute Resolution. Austrian Yearbook of International Arbitration. Retrieved June 27, 2024, from https://ssrn.com/abstract=3377234</w:t>
      </w:r>
    </w:p>
  </w:footnote>
  <w:footnote w:id="238">
    <w:p w14:paraId="473FA535"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 xml:space="preserve">    Scherer, M. (2019). Artificial intelligence and legal decision-making: The wide open? Journal of International Arbitration, 36(5), 539–574. Retrieved July 12, 2024, from https://doi.org/10.54648/joia2019028</w:t>
      </w:r>
    </w:p>
  </w:footnote>
  <w:footnote w:id="239">
    <w:p w14:paraId="6FB1C8E7"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Rule, C. (2002). Online dispute resolution for business: B2B, e-commerce. Consumer, employment, insurance, and other commercial conflicts.</w:t>
      </w:r>
    </w:p>
  </w:footnote>
  <w:footnote w:id="240">
    <w:p w14:paraId="12754047"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Ridley, D. (2012). The literature review: A step-by-step guide for students (2nd ed.). London: Sage.</w:t>
      </w:r>
    </w:p>
  </w:footnote>
  <w:footnote w:id="241">
    <w:p w14:paraId="372FAF19"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Morgan, D. (2022). Decentralized arbitration and the rise of blockchain dispute resolution. International Journal of Technology Law, 31(1), 120-144.</w:t>
      </w:r>
    </w:p>
  </w:footnote>
  <w:footnote w:id="242">
    <w:p w14:paraId="3B5D1A9D"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Martinez, L., &amp; Brown, H. (2025). GDPR compliance in cross-border arbitration: Challenges and best practices. European Arbitration Journal, 43(2), 145-168.</w:t>
      </w:r>
    </w:p>
  </w:footnote>
  <w:footnote w:id="243">
    <w:p w14:paraId="7DD2CC47"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Koulu, R. (2016). Blockchains and online dispute resolution: Smart contracts as an alternative to enforcement. Journal of Dispute Resolution, 13(2), 1–25.</w:t>
      </w:r>
    </w:p>
  </w:footnote>
  <w:footnote w:id="244">
    <w:p w14:paraId="1AF3B86E"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Gov. UK. (2024). The Data Protection Act. Retrieved January 17, 2024, from Gov. UK: https://www.gov.uk/data-protection</w:t>
      </w:r>
    </w:p>
  </w:footnote>
  <w:footnote w:id="245">
    <w:p w14:paraId="12F71886" w14:textId="77777777" w:rsidR="00CD0E06" w:rsidRPr="00FA114B" w:rsidRDefault="00CD0E06" w:rsidP="00F073C0">
      <w:pPr>
        <w:pStyle w:val="FootnoteText"/>
      </w:pPr>
      <w:r>
        <w:rPr>
          <w:rStyle w:val="FootnoteReference"/>
        </w:rPr>
        <w:footnoteRef/>
      </w:r>
      <w:r>
        <w:t xml:space="preserve"> Maud Piers and Christian Aschauer (eds), Arbitration in the Digital Age: The Brave New World of Arbitration (Cambridge University Press 2018) </w:t>
      </w:r>
      <w:hyperlink r:id="rId3" w:history="1">
        <w:r w:rsidRPr="003235D9">
          <w:rPr>
            <w:rStyle w:val="Hyperlink"/>
          </w:rPr>
          <w:t>https://www.cambridge.org/core/books/arbitration-in-the-digital-age/0DC861B58B979185521EB067BC109283</w:t>
        </w:r>
      </w:hyperlink>
      <w:r>
        <w:t xml:space="preserve"> accessed 24 September 2025.</w:t>
      </w:r>
    </w:p>
  </w:footnote>
  <w:footnote w:id="246">
    <w:p w14:paraId="2C7487E0" w14:textId="77777777" w:rsidR="00CD0E06" w:rsidRPr="00FA114B" w:rsidRDefault="00CD0E06" w:rsidP="00F073C0">
      <w:pPr>
        <w:pStyle w:val="FootnoteText"/>
      </w:pPr>
      <w:r>
        <w:rPr>
          <w:rStyle w:val="FootnoteReference"/>
        </w:rPr>
        <w:footnoteRef/>
      </w:r>
      <w:r>
        <w:t xml:space="preserve"> D Zegers, Cybersecurity and Virtual Hearings in Arbitration (Kluwer Law International 2014) </w:t>
      </w:r>
      <w:hyperlink r:id="rId4" w:history="1">
        <w:r w:rsidRPr="003235D9">
          <w:rPr>
            <w:rStyle w:val="Hyperlink"/>
          </w:rPr>
          <w:t>https://www.kluwerarbitration.com/</w:t>
        </w:r>
      </w:hyperlink>
      <w:r>
        <w:t xml:space="preserve"> accessed 24 September 2025.</w:t>
      </w:r>
    </w:p>
  </w:footnote>
  <w:footnote w:id="247">
    <w:p w14:paraId="0D8D62E3" w14:textId="77777777" w:rsidR="00CD0E06" w:rsidRPr="00FA114B" w:rsidRDefault="00CD0E06" w:rsidP="00F073C0">
      <w:pPr>
        <w:pStyle w:val="FootnoteText"/>
      </w:pPr>
      <w:r>
        <w:rPr>
          <w:rStyle w:val="FootnoteReference"/>
        </w:rPr>
        <w:footnoteRef/>
      </w:r>
      <w:r>
        <w:t xml:space="preserve"> UAE Federal Law No 6 of 2018 on Arbitration, arts 28, 31, 41 (Official Gazette, UAE Ministry of Justice) </w:t>
      </w:r>
      <w:hyperlink r:id="rId5" w:history="1">
        <w:r w:rsidRPr="003235D9">
          <w:rPr>
            <w:rStyle w:val="Hyperlink"/>
          </w:rPr>
          <w:t>https://www.moj.gov.ae/</w:t>
        </w:r>
      </w:hyperlink>
      <w:r>
        <w:t xml:space="preserve"> accessed 24 September 2025.</w:t>
      </w:r>
    </w:p>
  </w:footnote>
  <w:footnote w:id="248">
    <w:p w14:paraId="04174F06" w14:textId="77777777" w:rsidR="00CD0E06" w:rsidRPr="00403A7A" w:rsidRDefault="00CD0E06" w:rsidP="00F073C0">
      <w:pPr>
        <w:pStyle w:val="FootnoteText"/>
      </w:pPr>
      <w:r>
        <w:rPr>
          <w:rStyle w:val="FootnoteReference"/>
        </w:rPr>
        <w:footnoteRef/>
      </w:r>
      <w:r>
        <w:t xml:space="preserve"> International Chamber of Commerce (ICC), Guidance Note on Possible Measures Aimed at Mitigating the Effects of the COVID-19 Pandemic (9 April 2020) </w:t>
      </w:r>
      <w:hyperlink r:id="rId6" w:history="1">
        <w:r w:rsidRPr="003235D9">
          <w:rPr>
            <w:rStyle w:val="Hyperlink"/>
          </w:rPr>
          <w:t>https://www.icc-austria.org/fxdata/iccws/prod/media/downloads/guidance-note-possible-measures-mitigating-effects-covid-19-english.pdf</w:t>
        </w:r>
      </w:hyperlink>
      <w:r>
        <w:t xml:space="preserve"> accessed 24 September 2025; International Council for Commercial Arbitration (ICCA) and International Bar Association (IBA), Roadmap to Data Protection in International Arbitration (ICCA–IBA Joint Task Force, February 2020) </w:t>
      </w:r>
      <w:hyperlink r:id="rId7" w:history="1">
        <w:r w:rsidRPr="003235D9">
          <w:rPr>
            <w:rStyle w:val="Hyperlink"/>
          </w:rPr>
          <w:t>https://cdn.arbitration-icca.org/s3fs-public/document/media_document/roadmap_28.02.20.pdf</w:t>
        </w:r>
      </w:hyperlink>
      <w:r>
        <w:t xml:space="preserve"> accessed 24 September 2025.</w:t>
      </w:r>
    </w:p>
  </w:footnote>
  <w:footnote w:id="249">
    <w:p w14:paraId="0D3F4145" w14:textId="77777777" w:rsidR="00CD0E06" w:rsidRPr="00403A7A" w:rsidRDefault="00CD0E06" w:rsidP="00F073C0">
      <w:pPr>
        <w:pStyle w:val="FootnoteText"/>
      </w:pPr>
      <w:r>
        <w:rPr>
          <w:rStyle w:val="FootnoteReference"/>
        </w:rPr>
        <w:footnoteRef/>
      </w:r>
      <w:r>
        <w:t xml:space="preserve"> Stephanie Cohen and Mark Morrill, ‘A Call to Cyberarms: The International Arbitrator’s Duty to Avoid Digital Intrusion’ (2017) 40 Fordham International Law Journal 981 </w:t>
      </w:r>
      <w:hyperlink r:id="rId8" w:history="1">
        <w:r w:rsidRPr="003235D9">
          <w:rPr>
            <w:rStyle w:val="Hyperlink"/>
          </w:rPr>
          <w:t>https://ir.lawnet.fordham.edu/ilj/vol40/iss3/11/</w:t>
        </w:r>
      </w:hyperlink>
      <w:r>
        <w:t xml:space="preserve"> accessed 24 September 2025.</w:t>
      </w:r>
    </w:p>
  </w:footnote>
  <w:footnote w:id="250">
    <w:p w14:paraId="4EB7AE5C" w14:textId="77777777" w:rsidR="00CD0E06" w:rsidRPr="00403A7A" w:rsidRDefault="00CD0E06" w:rsidP="00F073C0">
      <w:pPr>
        <w:pStyle w:val="FootnoteText"/>
      </w:pPr>
      <w:r>
        <w:rPr>
          <w:rStyle w:val="FootnoteReference"/>
        </w:rPr>
        <w:footnoteRef/>
      </w:r>
      <w:r>
        <w:t xml:space="preserve"> Freshfields Bruckhaus Deringer, Updated Data Protection and Cybersecurity Guidelines for International Arbitration </w:t>
      </w:r>
      <w:hyperlink r:id="rId9" w:history="1">
        <w:r w:rsidRPr="003235D9">
          <w:rPr>
            <w:rStyle w:val="Hyperlink"/>
          </w:rPr>
          <w:t>https://riskandcompliance.freshfields.com/post/102i752/updated-data-protection-and-cybersecurity-guidelines-for-international-arbitratio</w:t>
        </w:r>
      </w:hyperlink>
      <w:r>
        <w:t xml:space="preserve"> accessed 24 September 2025.</w:t>
      </w:r>
    </w:p>
  </w:footnote>
  <w:footnote w:id="251">
    <w:p w14:paraId="77A8E565" w14:textId="77777777" w:rsidR="00CD0E06" w:rsidRPr="00352666" w:rsidRDefault="00CD0E06" w:rsidP="00F073C0">
      <w:pPr>
        <w:pStyle w:val="FootnoteText"/>
        <w:rPr>
          <w:lang w:val="en-US"/>
        </w:rPr>
      </w:pPr>
      <w:r>
        <w:rPr>
          <w:rStyle w:val="FootnoteReference"/>
        </w:rPr>
        <w:footnoteRef/>
      </w:r>
      <w:r>
        <w:t xml:space="preserve"> </w:t>
      </w:r>
      <w:r w:rsidRPr="00352666">
        <w:rPr>
          <w:lang w:val="en-US"/>
        </w:rPr>
        <w:t>Clark, J., &amp; Foster, E. (2022). Virtual hearings and due process concerns in online arbitration. Arbitration Law Journal, 33(5), 267-290.</w:t>
      </w:r>
    </w:p>
  </w:footnote>
  <w:footnote w:id="252">
    <w:p w14:paraId="25755C10" w14:textId="77777777" w:rsidR="00CD0E06" w:rsidRPr="00352666" w:rsidRDefault="00CD0E06" w:rsidP="00F073C0">
      <w:pPr>
        <w:pStyle w:val="FootnoteText"/>
        <w:rPr>
          <w:lang w:val="en-US"/>
        </w:rPr>
      </w:pPr>
      <w:r>
        <w:rPr>
          <w:rStyle w:val="FootnoteReference"/>
        </w:rPr>
        <w:footnoteRef/>
      </w:r>
      <w:r>
        <w:t xml:space="preserve"> </w:t>
      </w:r>
      <w:r w:rsidRPr="00B31E1B">
        <w:rPr>
          <w:lang w:val="en-US"/>
        </w:rPr>
        <w:t xml:space="preserve">Abu Dhabi Commercial Conciliation and </w:t>
      </w:r>
      <w:r>
        <w:rPr>
          <w:lang w:val="en-US"/>
        </w:rPr>
        <w:t>Centre</w:t>
      </w:r>
      <w:r w:rsidRPr="00B31E1B">
        <w:rPr>
          <w:lang w:val="en-US"/>
        </w:rPr>
        <w:t xml:space="preserve"> (ADCCAC), Official Website. Available at: https://www.abudhabichamber.ae</w:t>
      </w:r>
    </w:p>
  </w:footnote>
  <w:footnote w:id="253">
    <w:p w14:paraId="22599BC5"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254">
    <w:p w14:paraId="62B992C1"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Ahmed, S., &amp; Foster, L. (2025). Cybersecurity and confidentiality in online arbitration: A global perspective. International Arbitration Journal, 42(3), 245-267.</w:t>
      </w:r>
    </w:p>
  </w:footnote>
  <w:footnote w:id="255">
    <w:p w14:paraId="043FED2E"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Giupponi, B. (2022). “Virtual” Dispute Resolution in International Arbitration: Mapping Its Advantages and Main Caveats in the Face of COVID-19. In The Impact of Covid on International Disputes, 62-83; DOI: 10.1163/9789004514836_005.</w:t>
      </w:r>
    </w:p>
  </w:footnote>
  <w:footnote w:id="256">
    <w:p w14:paraId="237AA2E1"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Gibson, P., &amp; Clark, S. (2023). The role of data privacy laws in international arbitration: A comparative analysis. Data Protection Law Review, 52(1), 89-112.</w:t>
      </w:r>
    </w:p>
  </w:footnote>
  <w:footnote w:id="257">
    <w:p w14:paraId="32C748D0"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Al Hamed, M. A. A. (</w:t>
      </w:r>
      <w:r>
        <w:rPr>
          <w:lang w:val="en-US"/>
        </w:rPr>
        <w:t>2016</w:t>
      </w:r>
      <w:r w:rsidRPr="00B31E1B">
        <w:rPr>
          <w:lang w:val="en-US"/>
        </w:rPr>
        <w:t>). Electronic arbitration as a solution for electronic commerce dispute resolution in the United Arab Emirates: Obstacles and enforceability challenges.</w:t>
      </w:r>
    </w:p>
  </w:footnote>
  <w:footnote w:id="258">
    <w:p w14:paraId="22411A72"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ALKETBI, H. (2021). Arbitrators Appointment: Process, Challenges and Remedies (Doctoral dissertation. The British University in Dubai (BUiD)), 1(1), 14-96.</w:t>
      </w:r>
    </w:p>
  </w:footnote>
  <w:footnote w:id="259">
    <w:p w14:paraId="36A05ACF"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Dubai International Arbitration Centre (DIAC), Official Website. Available at: https://www.diac.ae</w:t>
      </w:r>
    </w:p>
  </w:footnote>
  <w:footnote w:id="260">
    <w:p w14:paraId="40C89768"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Ahmed, S., &amp; Foster, L. (2025). Cybersecurity and confidentiality in online arbitration: A global perspective. International Arbitration Journal, 42(3), 245-267.</w:t>
      </w:r>
    </w:p>
  </w:footnote>
  <w:footnote w:id="261">
    <w:p w14:paraId="6A65534F"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Ahmed, S., &amp; Foster, L. (2025). Cybersecurity and confidentiality in online arbitration: A global perspective. International Arbitration Journal, 42(3), 245-267</w:t>
      </w:r>
    </w:p>
  </w:footnote>
  <w:footnote w:id="262">
    <w:p w14:paraId="4C39F86E"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263">
    <w:p w14:paraId="66FC8207"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Ahmed, S., &amp; Foster, L. (2025). Cybersecurity and confidentiality in online arbitration: A global perspective. International Arbitration Journal, 42(3), 245-267.</w:t>
      </w:r>
    </w:p>
  </w:footnote>
  <w:footnote w:id="264">
    <w:p w14:paraId="0015403B"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Bakhramova, M. (2022). Procedures and Legal Regulation of Disputes in Online Arbitration. EUROPEAN JOURNAL OF INNOVATION IN NONFORMAL EDUCATION, 2(1), 293-298; ISSN: 2795-8612.</w:t>
      </w:r>
    </w:p>
  </w:footnote>
  <w:footnote w:id="265">
    <w:p w14:paraId="4A4DCA4F"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Wilson, R. (2024). The impact of digital evidence on arbitration proceedings: Challenges and opportunities. Journal of Evidence Law, 36(1), 88-112.</w:t>
      </w:r>
    </w:p>
  </w:footnote>
  <w:footnote w:id="266">
    <w:p w14:paraId="25571F5B"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Yeoh, D. (2022). Is online dispute resolution the future of alternative dispute resolution. Online dispute resolution, 1(1), 375-457.</w:t>
      </w:r>
    </w:p>
  </w:footnote>
  <w:footnote w:id="267">
    <w:p w14:paraId="1A5AA154"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Taylor, M. (2024). The role of UNCITRAL in developing digital arbitration frameworks. Journal of International Trade Law, 39(4), 177-202.</w:t>
      </w:r>
    </w:p>
  </w:footnote>
  <w:footnote w:id="268">
    <w:p w14:paraId="21EBE0FE"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Swiss . (2024, April 29). Swiss Arbitration Law &amp; International Rules - Download | ASA. Retrieved April 29, 2024, from Swiss Arbitration Association website: https://www.swissarbitration.org/swiss-arbitration/swiss-arbitration-laws/</w:t>
      </w:r>
    </w:p>
  </w:footnote>
  <w:footnote w:id="269">
    <w:p w14:paraId="71234311"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Smith, J., &amp; Jones, L. (2021). The evolution of online arbitration: A legal perspective. Harvard Law Review, 134(6), 311-338.</w:t>
      </w:r>
    </w:p>
  </w:footnote>
  <w:footnote w:id="270">
    <w:p w14:paraId="70D0D85C"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 xml:space="preserve">    Scherer, M. (2019). International Arbitration 3.0 – How Artificial Intelligence Will Change Dispute Resolution. Austrian Yearbook of International Arbitration. Retrieved June 27, 2024, from https://ssrn.com/abstract=3377234</w:t>
      </w:r>
    </w:p>
  </w:footnote>
  <w:footnote w:id="271">
    <w:p w14:paraId="170944ED"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Ridley, D. (2012). The literature review: A step-by-step guide for students (2nd ed.). London: Sage.</w:t>
      </w:r>
    </w:p>
  </w:footnote>
  <w:footnote w:id="272">
    <w:p w14:paraId="59A5E32E"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Sharjah International Commercial Arbitration Centre (TAHKEEM), Official Website. Available at: https://www.tahkeem.ae</w:t>
      </w:r>
    </w:p>
  </w:footnote>
  <w:footnote w:id="273">
    <w:p w14:paraId="4C09468F" w14:textId="77777777" w:rsidR="00CD0E06" w:rsidRPr="00B31E1B" w:rsidRDefault="00CD0E06" w:rsidP="00F073C0">
      <w:pPr>
        <w:pStyle w:val="FootnoteText"/>
        <w:rPr>
          <w:lang w:val="en-US"/>
        </w:rPr>
      </w:pPr>
      <w:r>
        <w:rPr>
          <w:rStyle w:val="FootnoteReference"/>
        </w:rPr>
        <w:footnoteRef/>
      </w:r>
      <w:r>
        <w:t xml:space="preserve"> </w:t>
      </w:r>
      <w:r w:rsidRPr="00B31E1B">
        <w:rPr>
          <w:lang w:val="en-US"/>
        </w:rPr>
        <w:t>Ruckteschler, D., &amp; Stooss, T. (2019). International commercial courts: A superior alternative to arbitration? Journal of International Arbitration, 36(4), 431–449. Retrieved April 15, 2024, from https://doi.org/10.54648/joia2019022</w:t>
      </w:r>
    </w:p>
  </w:footnote>
  <w:footnote w:id="274">
    <w:p w14:paraId="1AE4B68A"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Rabinovich-Einy, O., &amp; Katsh, E. (2021). Artificial intelligence and the future of dispute resolution: the Age of AI-DR. Orna Rabinovich-Einy and Ethan Katsh, “Artificial Intelligence and the Future of Dispute Resolution: The Age of AI-DR” in Online Dispute Resolution: Theory and Practice. Eleven International Publishing, 1(1), 15-95.</w:t>
      </w:r>
    </w:p>
  </w:footnote>
  <w:footnote w:id="275">
    <w:p w14:paraId="533B96C3"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Morgan, D. (2022). Decentralized arbitration and the rise of blockchain dispute resolution. International Journal of Technology Law, 31(1), 120-144.</w:t>
      </w:r>
    </w:p>
  </w:footnote>
  <w:footnote w:id="276">
    <w:p w14:paraId="30138D62"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Martinez, L., &amp; Brown, H. (2023). Data protection and GDPR compliance in online arbitration. European Law Review, 40(3), 198-221.</w:t>
      </w:r>
    </w:p>
  </w:footnote>
  <w:footnote w:id="277">
    <w:p w14:paraId="7923BA92"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Koh, H. H. (2021). The 'Gants Principles' for online dispute resolution: Realizing the Chief Justice’s vision for courts in the cloud. Boston College Law Review, 62(7), 2768–2795.</w:t>
      </w:r>
    </w:p>
  </w:footnote>
  <w:footnote w:id="278">
    <w:p w14:paraId="6AB9684D"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Gibson, P., &amp; Clark, S. (2023). The role of data privacy laws in international arbitration: A comparative analysis. Data Protection Law Review, 52(1), 89-112.</w:t>
      </w:r>
    </w:p>
  </w:footnote>
  <w:footnote w:id="279">
    <w:p w14:paraId="65E33626"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Garcia, P., &amp; Patel, S. (2023). Blockchain-based arbitration: Ensuring transparency and security in online dispute resolution. International Journal of Law &amp; Technology, 29(4), 187-210.</w:t>
      </w:r>
    </w:p>
  </w:footnote>
  <w:footnote w:id="280">
    <w:p w14:paraId="58A14A63"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Evans, B. (2021). Hybrid arbitration models: Merging AI with human decision-making. Global Arbitration Journal, 36(2), 134-158.</w:t>
      </w:r>
    </w:p>
  </w:footnote>
  <w:footnote w:id="281">
    <w:p w14:paraId="3EAF9819"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Ajman Centre for Commercial Conciliation and Arbitration, Ajman Chamber of Commerce. Available at: https://www.ajmanchamber.ae</w:t>
      </w:r>
    </w:p>
  </w:footnote>
  <w:footnote w:id="282">
    <w:p w14:paraId="716AD2A4"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Ahmed, S., &amp; Foster, L. (2025). Cybersecurity and confidentiality in online arbitration: A global perspective. International Arbitration Journal, 42(3), 245-267.</w:t>
      </w:r>
    </w:p>
  </w:footnote>
  <w:footnote w:id="283">
    <w:p w14:paraId="2A1FDC6F"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284">
    <w:p w14:paraId="235855BC"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Al Hamed, M. A. A. (</w:t>
      </w:r>
      <w:r>
        <w:rPr>
          <w:lang w:val="en-US"/>
        </w:rPr>
        <w:t>2016</w:t>
      </w:r>
      <w:r w:rsidRPr="00C9290D">
        <w:rPr>
          <w:lang w:val="en-US"/>
        </w:rPr>
        <w:t>). Electronic arbitration as a solution for electronic commerce dispute resolution in the United Arab Emirates: Obstacles and enforceability challenges.</w:t>
      </w:r>
    </w:p>
  </w:footnote>
  <w:footnote w:id="285">
    <w:p w14:paraId="0EDDC4BF"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Ahmed, S., &amp; Foster, L. (2025). Cybersecurity and confidentiality in online arbitration: A global perspective. International Arbitration Journal, 42(3), 245-267.</w:t>
      </w:r>
    </w:p>
  </w:footnote>
  <w:footnote w:id="286">
    <w:p w14:paraId="6CD196BF"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Adeleke, F. (2014). Investor-state arbitration and the Public Interest Regulation theory. SSRN. Retrieved from https://papers.ssrn.com/sol3/papers.cfm?abstract_id=2451446</w:t>
      </w:r>
    </w:p>
  </w:footnote>
  <w:footnote w:id="287">
    <w:p w14:paraId="3F91028A"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Al Tamimi, E. (2021). Practical guide to litigation and arbitration in the United Arab Emirates: A detailed guide to litigation and arbitration in the United Arab Emirates based on federal laws, laws specific to the individual Emirates, judgments delivered by the Court of Cass. Brill.</w:t>
      </w:r>
    </w:p>
  </w:footnote>
  <w:footnote w:id="288">
    <w:p w14:paraId="391B4A5D"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Taylor, M. (2024). The role of UNCITRAL in developing digital arbitration frameworks. Journal of International Trade Law, 39(4), 177-202.</w:t>
      </w:r>
    </w:p>
  </w:footnote>
  <w:footnote w:id="289">
    <w:p w14:paraId="4E201949" w14:textId="77777777" w:rsidR="000851F5" w:rsidRDefault="000851F5" w:rsidP="000851F5">
      <w:pPr>
        <w:pStyle w:val="FootnoteText"/>
        <w:rPr>
          <w:lang w:val="en-US"/>
        </w:rPr>
      </w:pPr>
      <w:r>
        <w:rPr>
          <w:rStyle w:val="FootnoteReference"/>
        </w:rPr>
        <w:footnoteRef/>
      </w:r>
      <w:r>
        <w:rPr>
          <w:lang w:val="en-US"/>
        </w:rPr>
        <w:t xml:space="preserve"> </w:t>
      </w:r>
      <w:r>
        <w:t xml:space="preserve">Ras Al Khaimah Chamber of Commerce and Industry. (2007). </w:t>
      </w:r>
      <w:r>
        <w:rPr>
          <w:rStyle w:val="Emphasis"/>
          <w:rFonts w:ascii="Arial" w:hAnsi="Arial" w:cs="Arial"/>
        </w:rPr>
        <w:t>Ras Al Khaimah Mediation and Arbitration Centre</w:t>
      </w:r>
      <w:r>
        <w:t>. https://rakchamber.ae/</w:t>
      </w:r>
    </w:p>
  </w:footnote>
  <w:footnote w:id="290">
    <w:p w14:paraId="20858222"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United Nations Commission on International Trade Law (UNCITRAL) Model Law on International Commercial Arbitration, Available at: https://uncitral.un.org</w:t>
      </w:r>
    </w:p>
  </w:footnote>
  <w:footnote w:id="291">
    <w:p w14:paraId="3CDE242C"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Verbeck, J. (2010 ). International Arbitration Practice in Europe: Anti-Suit Injunctions. YB on Int'l Arb, 1(1), 185.</w:t>
      </w:r>
    </w:p>
  </w:footnote>
  <w:footnote w:id="292">
    <w:p w14:paraId="311E9350"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Tamimi. (2024). Breaking: UAE Ushers in Changes to the Arbitration Law. Retrieved April 03, 2024, from https://www.tamimi.com/news/breaking-uae-ushers-in-changes-to-the-arbitration-law/</w:t>
      </w:r>
    </w:p>
  </w:footnote>
  <w:footnote w:id="293">
    <w:p w14:paraId="7D062A0B"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Swissarbitration. (2024). Swiss Rules of International Arbitration Practice Note. Retrieved April 03, 2024, from https://www.swissarbitration.org/wp-content/uploads/2023/03/Swiss-Rules-of-International-Arbitration-Practice-Note-27.03.2023.pdf</w:t>
      </w:r>
    </w:p>
  </w:footnote>
  <w:footnote w:id="294">
    <w:p w14:paraId="7087DADC"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Martinez, L., &amp; Brown, H. (2025). GDPR compliance in cross-border arbitration: Challenges and best practices. European Arbitration Journal, 43(2), 145-168.</w:t>
      </w:r>
    </w:p>
  </w:footnote>
  <w:footnote w:id="295">
    <w:p w14:paraId="26E4154C"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Mania, K. (2015). Online dispute resolution: The future of justice. International Comparative Jurisprudence, 1(1), 76–90.</w:t>
      </w:r>
    </w:p>
  </w:footnote>
  <w:footnote w:id="296">
    <w:p w14:paraId="1711C354" w14:textId="77777777" w:rsidR="00CD0E06" w:rsidRPr="00C9290D" w:rsidRDefault="00CD0E06" w:rsidP="00F073C0">
      <w:pPr>
        <w:pStyle w:val="FootnoteText"/>
        <w:rPr>
          <w:lang w:val="en-US"/>
        </w:rPr>
      </w:pPr>
      <w:r>
        <w:rPr>
          <w:rStyle w:val="FootnoteReference"/>
        </w:rPr>
        <w:footnoteRef/>
      </w:r>
      <w:r>
        <w:t xml:space="preserve"> </w:t>
      </w:r>
      <w:r w:rsidRPr="00C9290D">
        <w:rPr>
          <w:lang w:val="en-US"/>
        </w:rPr>
        <w:t>Leigh, D., &amp; Fowlie, F. (2014). Online dispute resolution (ODR) within developing nations: a qualitative evaluation of transfer and impact. Laws, 1(1), 106-116; DOi: 10.3390/laws3010106.</w:t>
      </w:r>
    </w:p>
  </w:footnote>
  <w:footnote w:id="297">
    <w:p w14:paraId="1F7F2244" w14:textId="77777777" w:rsidR="00CD0E06" w:rsidRPr="00C9290D" w:rsidRDefault="00CD0E06" w:rsidP="00F073C0">
      <w:pPr>
        <w:pStyle w:val="FootnoteText"/>
        <w:rPr>
          <w:lang w:val="en-US"/>
        </w:rPr>
      </w:pPr>
      <w:r>
        <w:rPr>
          <w:rStyle w:val="FootnoteReference"/>
        </w:rPr>
        <w:footnoteRef/>
      </w:r>
      <w:r>
        <w:t xml:space="preserve"> </w:t>
      </w:r>
      <w:r w:rsidRPr="00E73383">
        <w:rPr>
          <w:lang w:val="en-US"/>
        </w:rPr>
        <w:t>Koulu, R. (2016). Blockchains and online dispute resolution: Smart contracts as an alternative to enforcement. Journal of Dispute Resolution, 13(2), 1–25.</w:t>
      </w:r>
    </w:p>
  </w:footnote>
  <w:footnote w:id="298">
    <w:p w14:paraId="6B525FBF"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Johnston, M. P. (2017). Secondary data analysis: A method of which the time has come. Qualitative and Quantitative Methods in Libraries, 3(3), 619–626.</w:t>
      </w:r>
    </w:p>
  </w:footnote>
  <w:footnote w:id="299">
    <w:p w14:paraId="52300272"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Harris, T., &amp; Zhou, M. (2024). Artificial intelligence in online arbitration: Balancing efficiency and fairness. AI &amp; Law Review, 27(3), 145-169.</w:t>
      </w:r>
    </w:p>
  </w:footnote>
  <w:footnote w:id="300">
    <w:p w14:paraId="16DAA429"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Miller, L. (2018). Cybersecurity Insurance: Incentive Alignment Solution to Weak Corporate Data Protection. SSRN Electronic Journal , 1(1). https://doi.org/10.2139/ssrn.3113771</w:t>
      </w:r>
    </w:p>
  </w:footnote>
  <w:footnote w:id="301">
    <w:p w14:paraId="5CD87D14"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 xml:space="preserve">    Katz, D. M., et al. (2017, April 12). A general approach for predicting the behavior of the Supreme Court of the United States. PloS One, 12(4), 1–18. Retrieved May 27, 2024, from https://doi.org/10.1371/journal.pone.0174698</w:t>
      </w:r>
    </w:p>
  </w:footnote>
  <w:footnote w:id="302">
    <w:p w14:paraId="78434D57"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Koh, H. H. (2021). The 'Gants Principles' for online dispute resolution: Realizing the Chief Justice’s vision for courts in the cloud. Boston College Law Review, 62(7), 2768–2795.</w:t>
      </w:r>
    </w:p>
  </w:footnote>
  <w:footnote w:id="303">
    <w:p w14:paraId="48FB0415"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 xml:space="preserve">    Hague Conference on Private International Law. </w:t>
      </w:r>
      <w:r>
        <w:rPr>
          <w:lang w:val="en-US"/>
        </w:rPr>
        <w:t>(2025</w:t>
      </w:r>
      <w:r w:rsidRPr="00E73383">
        <w:rPr>
          <w:lang w:val="en-US"/>
        </w:rPr>
        <w:t xml:space="preserve">). Apostille Section. Retrieved April 10, </w:t>
      </w:r>
      <w:r>
        <w:rPr>
          <w:lang w:val="en-US"/>
        </w:rPr>
        <w:t>2025</w:t>
      </w:r>
      <w:r w:rsidRPr="00E73383">
        <w:rPr>
          <w:lang w:val="en-US"/>
        </w:rPr>
        <w:t>, from https://www.hcch.net/en/instruments/conventions/specialised-sections/apostille</w:t>
      </w:r>
    </w:p>
  </w:footnote>
  <w:footnote w:id="304">
    <w:p w14:paraId="60D86EAC"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Garcia, P., &amp; Patel, S. (2023). Blockchain-based arbitration: Ensuring transparency and security in online dispute resolution. International Journal of Law &amp; Technology, 29(4), 187-210.</w:t>
      </w:r>
    </w:p>
  </w:footnote>
  <w:footnote w:id="305">
    <w:p w14:paraId="6A1A9C8A"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 xml:space="preserve">    Dent-Spargo, T. (2018, March 5). Lawyer versus robot. Robotics Law Journal. Retrieved June 27, 2024, from https://roboticslawjournal.com/analysis/lawyer-versus-robot-12590026</w:t>
      </w:r>
    </w:p>
  </w:footnote>
  <w:footnote w:id="306">
    <w:p w14:paraId="19F45518"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Clark, J., &amp; Foster, E. (2022). Virtual hearings and due process concerns in online arbitration. Arbitration Law Journal, 33(5), 267-290.</w:t>
      </w:r>
    </w:p>
  </w:footnote>
  <w:footnote w:id="307">
    <w:p w14:paraId="4D712FF7"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 xml:space="preserve">    Cohen, P., &amp; Nappert, S. (2018). Case study: The practitioner’s perspective. In M. Piers &amp; C. Aschauer (Eds.), Arbitration in the digital age: The brave new world of arbitration (pp. 126–148). Cambridge University Press.</w:t>
      </w:r>
    </w:p>
  </w:footnote>
  <w:footnote w:id="308">
    <w:p w14:paraId="0A4A040E"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Calzolaio, E. (2020). Richard SUSSKIND: Online courts and the future of justice. Journal of Constitutional History, 344.</w:t>
      </w:r>
    </w:p>
  </w:footnote>
  <w:footnote w:id="309">
    <w:p w14:paraId="548A4116"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Bergsten, E. (2011). International arbitration and international commercial law: synergy, convergence, and evolution: liber amicorum Eric Bergsten (1 ed.). London: Kluwer Law International BV.</w:t>
      </w:r>
    </w:p>
  </w:footnote>
  <w:footnote w:id="310">
    <w:p w14:paraId="56EFC514"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Bakhramova, M. (2022). Procedures and Legal Regulation of Disputes in Online Arbitration. EUROPEAN JOURNAL OF INNOVATION IN NONFORMAL EDUCATION, 2(1), 293-298; ISSN: 2795-8612.</w:t>
      </w:r>
    </w:p>
  </w:footnote>
  <w:footnote w:id="311">
    <w:p w14:paraId="4768732C"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Awwad, R., Barakat, B., &amp; Menassa, C. (2016). Understanding dispute resolution in the Middle East region from perspectives of different stakeholders. Journal of Management in Engineering, 32(6), 05016019; DOi: 10.1061/(ASCE)ME.1943-5479.0000465.</w:t>
      </w:r>
    </w:p>
  </w:footnote>
  <w:footnote w:id="312">
    <w:p w14:paraId="0D172FD6"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Al-Sharrah, A., &amp; El-Darwiche, A. (2021). Online Arbitration and its Future. Journal of International Commercial Law and Technology, 16(3), 232-249.</w:t>
      </w:r>
    </w:p>
  </w:footnote>
  <w:footnote w:id="313">
    <w:p w14:paraId="4D92D7D8"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Al Hamed, M. A. A. (</w:t>
      </w:r>
      <w:r>
        <w:rPr>
          <w:lang w:val="en-US"/>
        </w:rPr>
        <w:t>2016</w:t>
      </w:r>
      <w:r w:rsidRPr="00E73383">
        <w:rPr>
          <w:lang w:val="en-US"/>
        </w:rPr>
        <w:t>). Electronic arbitration as a solution for electronic commerce dispute resolution in the United Arab Emirates: Obstacles and enforceability challenges.</w:t>
      </w:r>
    </w:p>
  </w:footnote>
  <w:footnote w:id="314">
    <w:p w14:paraId="156F4EAA"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Al Tamimi, E. (2021). Practical guide to litigation and arbitration in the United Arab Emirates: A detailed guide to litigation and arbitration in the United Arab Emirates based on federal laws, laws specific to the individual Emirates, judgments delivered by the Court of Cass. Brill.</w:t>
      </w:r>
    </w:p>
  </w:footnote>
  <w:footnote w:id="315">
    <w:p w14:paraId="6A299763"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316">
    <w:p w14:paraId="58A1A3AE"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Awwad, R., Barakat, B., &amp; Menassa, C. (2016). Understanding dispute resolution in the Middle East region from perspectives of different stakeholders. Journal of Management in Engineering, 32(6), 05016019; DOi: 10.1061/(ASCE)ME.1943-5479.0000465.</w:t>
      </w:r>
    </w:p>
  </w:footnote>
  <w:footnote w:id="317">
    <w:p w14:paraId="4C112792"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Birt, L., Scott, S., Cavers, D., Campbell, C., &amp; Walter, F. (2016). Member checking: A tool to enhance trustworthiness or merely a nod to validation? Qualitative Health Research, 26(13), 1802–1811.</w:t>
      </w:r>
    </w:p>
  </w:footnote>
  <w:footnote w:id="318">
    <w:p w14:paraId="4927F251"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Broches, A. (1995). elected essays: World Bank, ICSID, and Other subjects of public and private international law (1 ed.). London: Martinus Nijhoff Publishers.</w:t>
      </w:r>
    </w:p>
  </w:footnote>
  <w:footnote w:id="319">
    <w:p w14:paraId="1C87E4F2"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Clark, J., &amp; Foster, E. (2022). Virtual hearings and due process concerns in online arbitration. Arbitration Law Journal, 33(5), 267-290.</w:t>
      </w:r>
    </w:p>
  </w:footnote>
  <w:footnote w:id="320">
    <w:p w14:paraId="2466D163"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Dal Bo, E. (2006). Regulatory capture: A review. Oxford Review of Economic Policy, 22(2), 203–225.</w:t>
      </w:r>
    </w:p>
  </w:footnote>
  <w:footnote w:id="321">
    <w:p w14:paraId="177B82A8"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de Souza, S. P., Aithala, V., &amp; John, S. (</w:t>
      </w:r>
      <w:r>
        <w:rPr>
          <w:lang w:val="en-US"/>
        </w:rPr>
        <w:t>2021</w:t>
      </w:r>
      <w:r w:rsidRPr="00E73383">
        <w:rPr>
          <w:lang w:val="en-US"/>
        </w:rPr>
        <w:t>). The Supreme Court of India’s vision for e-Courts: The need to retain justice as a public service. Retrieved from https://www.thehinducentre.com/publications/policy-watch/article35229520.ece</w:t>
      </w:r>
    </w:p>
  </w:footnote>
  <w:footnote w:id="322">
    <w:p w14:paraId="785029A4" w14:textId="77777777" w:rsidR="00CD0E06" w:rsidRPr="00E73383" w:rsidRDefault="00CD0E06" w:rsidP="00F073C0">
      <w:pPr>
        <w:pStyle w:val="FootnoteText"/>
        <w:rPr>
          <w:lang w:val="en-US"/>
        </w:rPr>
      </w:pPr>
      <w:r>
        <w:rPr>
          <w:rStyle w:val="FootnoteReference"/>
        </w:rPr>
        <w:footnoteRef/>
      </w:r>
      <w:r>
        <w:t xml:space="preserve"> </w:t>
      </w:r>
      <w:r w:rsidRPr="00E73383">
        <w:rPr>
          <w:lang w:val="en-US"/>
        </w:rPr>
        <w:t>Ebner, N., &amp; Zeleznikow, J. (2015). Fairness, trust, and security in online dispute resolution. Hamline Journal of Public Law &amp; Policy, 36, vi.</w:t>
      </w:r>
    </w:p>
  </w:footnote>
  <w:footnote w:id="323">
    <w:p w14:paraId="365A64C7"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Dent-Spargo, T. (2018, March 5). Lawyer versus robot. Robotics Law Journal. Retrieved June 27, 2024, from https://roboticslawjournal.com/analysis/lawyer-versus-robot-12590026</w:t>
      </w:r>
    </w:p>
  </w:footnote>
  <w:footnote w:id="324">
    <w:p w14:paraId="44D8E4DC"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Choong, C. K. (2015). Online Dispute Resolution and Electronic Arbitration. International Journal of Business and Social Science, 6(9), 140-148.</w:t>
      </w:r>
    </w:p>
  </w:footnote>
  <w:footnote w:id="325">
    <w:p w14:paraId="4FD09919"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Broches, A. (1995). elected essays: World Bank, ICSID, and Other subjects of public and private international law (1 ed.). London: Martinus Nijhoff Publishers.</w:t>
      </w:r>
    </w:p>
  </w:footnote>
  <w:footnote w:id="326">
    <w:p w14:paraId="108E315F"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Black, J. (2001). Decentring regulation: Understanding the role of regulation and self-regulation in a ‘post-regulatory’ world. Current Legal Problems, 54(1), 103–146.</w:t>
      </w:r>
    </w:p>
  </w:footnote>
  <w:footnote w:id="327">
    <w:p w14:paraId="3A08C275"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Bakhramova, M. (2022). Procedures and Legal Regulation of Disputes in Online Arbitration. EUROPEAN JOURNAL OF INNOVATION IN NONFORMAL EDUCATION, 2(1), 293-298; ISSN: 2795-8612.</w:t>
      </w:r>
    </w:p>
  </w:footnote>
  <w:footnote w:id="328">
    <w:p w14:paraId="7D18DE23"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Born, G. (2021). International arbitration: law and practice. London: International Arbitration.</w:t>
      </w:r>
    </w:p>
  </w:footnote>
  <w:footnote w:id="329">
    <w:p w14:paraId="3E0EEA8A"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Awwad, R., Barakat, B., &amp; Menassa, C. (2016). Understanding dispute resolution in the Middle East region from perspectives of different stakeholders. Journal of Management in Engineering, 32(6), 05016019; DOi: 10.1061/(ASCE)ME.1943-5479.0000465.</w:t>
      </w:r>
    </w:p>
  </w:footnote>
  <w:footnote w:id="330">
    <w:p w14:paraId="5D48737E"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Arterburn, D. E., Crane, P. K., &amp; Sullivan, S. D. (2004). The Coming Epidemic of Obesity in Elderly Americans. Journal of the American Geriatrics Society, 52(11), 1907–1912. https://doi.org/10.1111/j.1532-5415.2004.52517.x</w:t>
      </w:r>
    </w:p>
  </w:footnote>
  <w:footnote w:id="331">
    <w:p w14:paraId="3F838DED"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Al Hamed, M. A. A. (</w:t>
      </w:r>
      <w:r>
        <w:rPr>
          <w:lang w:val="en-US"/>
        </w:rPr>
        <w:t>2016</w:t>
      </w:r>
      <w:r w:rsidRPr="006D3CBB">
        <w:rPr>
          <w:lang w:val="en-US"/>
        </w:rPr>
        <w:t>). Electronic arbitration as a solution for electronic commerce dispute resolution in the United Arab Emirates: Obstacles and enforceability challenges.</w:t>
      </w:r>
    </w:p>
  </w:footnote>
  <w:footnote w:id="332">
    <w:p w14:paraId="34E89F2E"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Adeleke, F. (2014). Investor-state arbitration and the Public Interest Regulation theory. SSRN. Retrieved from https://papers.ssrn.com/sol3/papers.cfm?abstract_id=2451446</w:t>
      </w:r>
    </w:p>
  </w:footnote>
  <w:footnote w:id="333">
    <w:p w14:paraId="5B2F78A2"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334">
    <w:p w14:paraId="4733BF49"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Awwad, R., Barakat, B., &amp; Menassa, C. (2016). Understanding dispute resolution in the Middle East region from perspectives of different stakeholders. Journal of Management in Engineering, 32(6), 05016019; DOi: 10.1061/(ASCE)ME.1943-5479.0000465.</w:t>
      </w:r>
    </w:p>
  </w:footnote>
  <w:footnote w:id="335">
    <w:p w14:paraId="273E2498"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Arterburn, D. E., Crane, P. K., &amp; Sullivan, S. D. (2004). The Coming Epidemic of Obesity in Elderly Americans. Journal of the American Geriatrics Society, 52(11), 1907–1912. https://doi.org/10.1111/j.1532-5415.2004.52517.x</w:t>
      </w:r>
    </w:p>
  </w:footnote>
  <w:footnote w:id="336">
    <w:p w14:paraId="160EA33A"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Al-Sharrah, A., &amp; El-Darwiche, A. (2021). Online Arbitration and its Future. Journal of International Commercial Law and Technology, 16(3), 232-249.</w:t>
      </w:r>
    </w:p>
  </w:footnote>
  <w:footnote w:id="337">
    <w:p w14:paraId="4A98B0E6" w14:textId="77777777" w:rsidR="00CD0E06" w:rsidRPr="00A57FE6" w:rsidRDefault="00CD0E06" w:rsidP="00F073C0">
      <w:pPr>
        <w:pStyle w:val="FootnoteText"/>
        <w:rPr>
          <w:lang w:val="en-US"/>
        </w:rPr>
      </w:pPr>
      <w:r>
        <w:rPr>
          <w:rStyle w:val="FootnoteReference"/>
        </w:rPr>
        <w:footnoteRef/>
      </w:r>
      <w:r>
        <w:t xml:space="preserve"> </w:t>
      </w:r>
      <w:r w:rsidRPr="00A57FE6">
        <w:t>UAE Cybersecurity Council, Federal Decree-Law No 12 of 2021 on the Establishment of the UAE Cybersecurity Council (UAE Official Gazette 2021).</w:t>
      </w:r>
    </w:p>
  </w:footnote>
  <w:footnote w:id="338">
    <w:p w14:paraId="5EC756AC" w14:textId="77777777" w:rsidR="00CD0E06" w:rsidRPr="00A57FE6" w:rsidRDefault="00CD0E06" w:rsidP="00F073C0">
      <w:pPr>
        <w:pStyle w:val="FootnoteText"/>
        <w:rPr>
          <w:lang w:val="en-US"/>
        </w:rPr>
      </w:pPr>
      <w:r>
        <w:rPr>
          <w:rStyle w:val="FootnoteReference"/>
        </w:rPr>
        <w:footnoteRef/>
      </w:r>
      <w:r>
        <w:t xml:space="preserve"> </w:t>
      </w:r>
      <w:r w:rsidRPr="00A57FE6">
        <w:t>UAE Cybersecurity Council, UAE National Cybersecurity Strategy (Cybersecurity Council UAE 2022).</w:t>
      </w:r>
    </w:p>
  </w:footnote>
  <w:footnote w:id="339">
    <w:p w14:paraId="2054ECA3" w14:textId="77777777" w:rsidR="00CD0E06" w:rsidRPr="00A57FE6" w:rsidRDefault="00CD0E06" w:rsidP="00F073C0">
      <w:pPr>
        <w:pStyle w:val="FootnoteText"/>
        <w:rPr>
          <w:lang w:val="en-US"/>
        </w:rPr>
      </w:pPr>
      <w:r>
        <w:rPr>
          <w:rStyle w:val="FootnoteReference"/>
        </w:rPr>
        <w:footnoteRef/>
      </w:r>
      <w:r>
        <w:t xml:space="preserve"> </w:t>
      </w:r>
      <w:r w:rsidRPr="00A57FE6">
        <w:t>UAE Cybersecurity Council, Critical Information Infrastructure Protection Policy (Cybersecurity Council UAE 2022).</w:t>
      </w:r>
    </w:p>
  </w:footnote>
  <w:footnote w:id="340">
    <w:p w14:paraId="7506EF1F" w14:textId="77777777" w:rsidR="00CD0E06" w:rsidRPr="00A57FE6" w:rsidRDefault="00CD0E06" w:rsidP="00F073C0">
      <w:pPr>
        <w:pStyle w:val="FootnoteText"/>
        <w:rPr>
          <w:lang w:val="en-US"/>
        </w:rPr>
      </w:pPr>
      <w:r>
        <w:rPr>
          <w:rStyle w:val="FootnoteReference"/>
        </w:rPr>
        <w:footnoteRef/>
      </w:r>
      <w:r>
        <w:t xml:space="preserve"> </w:t>
      </w:r>
      <w:r w:rsidRPr="00A57FE6">
        <w:t>UAE Cybersecurity Council, Cybersecurity Policies and Standards Framework (Cybersecurity Council UAE 2022).</w:t>
      </w:r>
    </w:p>
  </w:footnote>
  <w:footnote w:id="341">
    <w:p w14:paraId="26106429" w14:textId="77777777" w:rsidR="00CD0E06" w:rsidRPr="00A57FE6" w:rsidRDefault="00CD0E06" w:rsidP="00F073C0">
      <w:pPr>
        <w:pStyle w:val="FootnoteText"/>
        <w:rPr>
          <w:lang w:val="en-US"/>
        </w:rPr>
      </w:pPr>
      <w:r>
        <w:rPr>
          <w:rStyle w:val="FootnoteReference"/>
        </w:rPr>
        <w:footnoteRef/>
      </w:r>
      <w:r>
        <w:t xml:space="preserve"> </w:t>
      </w:r>
      <w:r w:rsidRPr="00A57FE6">
        <w:t xml:space="preserve">International </w:t>
      </w:r>
      <w:r>
        <w:t>Organisation</w:t>
      </w:r>
      <w:r w:rsidRPr="00A57FE6">
        <w:t xml:space="preserve"> for Standardization, ISO/IEC 27001:2022 – Information Security, Cybersecurity and Privacy Protection – Information Security Management Systems – Requirements (ISO 2022).</w:t>
      </w:r>
    </w:p>
  </w:footnote>
  <w:footnote w:id="342">
    <w:p w14:paraId="5DDF41F3" w14:textId="77777777" w:rsidR="00CD0E06" w:rsidRPr="00A57FE6" w:rsidRDefault="00CD0E06" w:rsidP="00F073C0">
      <w:pPr>
        <w:pStyle w:val="FootnoteText"/>
      </w:pPr>
      <w:r>
        <w:rPr>
          <w:rStyle w:val="FootnoteReference"/>
        </w:rPr>
        <w:footnoteRef/>
      </w:r>
      <w:r>
        <w:t xml:space="preserve"> </w:t>
      </w:r>
      <w:r w:rsidRPr="00A57FE6">
        <w:t>Gary C Cornish, Cybersecurity and Arbitration: Managing Digital Risks in International Dispute Resolution (Kluwer Law International 2021).</w:t>
      </w:r>
    </w:p>
  </w:footnote>
  <w:footnote w:id="343">
    <w:p w14:paraId="58F1E4F0"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Al Hamed, M. A. A. (</w:t>
      </w:r>
      <w:r>
        <w:rPr>
          <w:lang w:val="en-US"/>
        </w:rPr>
        <w:t>2016</w:t>
      </w:r>
      <w:r w:rsidRPr="006D3CBB">
        <w:rPr>
          <w:lang w:val="en-US"/>
        </w:rPr>
        <w:t>). Electronic arbitration as a solution for electronic commerce dispute resolution in the United Arab Emirates: Obstacles and enforceability challenges.</w:t>
      </w:r>
    </w:p>
  </w:footnote>
  <w:footnote w:id="344">
    <w:p w14:paraId="52E8A6F9"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Al-Sharrah, A., &amp; El-Darwiche, A. (2021). Online Arbitration and its Future. Journal of International Commercial Law and Technology, 16(3), 232-249.</w:t>
      </w:r>
    </w:p>
  </w:footnote>
  <w:footnote w:id="345">
    <w:p w14:paraId="425A8BDA"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Baldwin, R., Cave, M., &amp; Lodge, M. (2011). Understanding regulation: Theory, strategy, and practice. Oxford University Press.</w:t>
      </w:r>
    </w:p>
  </w:footnote>
  <w:footnote w:id="346">
    <w:p w14:paraId="26B40B87"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Bozkurt Yüksel, A. E. (2007, Summer). Online international arbitration. Ankara Law Review, 4(1), 83–93. Retrieved April 4, 2024, from https://doi.org/10.1501/lawrev_0000000041</w:t>
      </w:r>
    </w:p>
  </w:footnote>
  <w:footnote w:id="347">
    <w:p w14:paraId="642B1202"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Cohen, P., &amp; Nappert, S. (2018). Case study: The practitioner’s perspective. In M. Piers &amp; C. Aschauer (Eds.), Arbitration in the digital age: The brave new world of arbitration (pp. 126–148). Cambridge University Press.</w:t>
      </w:r>
    </w:p>
  </w:footnote>
  <w:footnote w:id="348">
    <w:p w14:paraId="635EBA01"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Dent-Spargo, T. (2018, March 5). Lawyer versus robot. Robotics Law Journal. Retrieved June 27, 2024, from https://roboticslawjournal.com/analysis/lawyer-versus-robot-12590026</w:t>
      </w:r>
    </w:p>
  </w:footnote>
  <w:footnote w:id="349">
    <w:p w14:paraId="4412AC0D"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Federal Law No. 6 of 2018 on Arbitration, United Arab Emirates Government. Available at: https://www.moj.gov.ae</w:t>
      </w:r>
    </w:p>
  </w:footnote>
  <w:footnote w:id="350">
    <w:p w14:paraId="1B5F59F3"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Gay, A. (2020, February 12). The inevitable collision between AI and law of arbitration. Law360 Canada. Retrieved July 12, 2024, from https://www.law360.ca/ca/articles/1750462/the-inevitable-collision-between-ai-and-law-of-arbitration</w:t>
      </w:r>
    </w:p>
  </w:footnote>
  <w:footnote w:id="351">
    <w:p w14:paraId="340A6FFB"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Harris, T., &amp; Zhou, M. (2024). Regulatory approaches to AI in arbitration: Ethical and legal considerations. International Journal of Law &amp; Ethics, 35(2), 211-232.</w:t>
      </w:r>
    </w:p>
  </w:footnote>
  <w:footnote w:id="352">
    <w:p w14:paraId="0F76CC93"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Katsh, E., &amp; Rule, C. (2015). What we know and need to know about online dispute resolution. South Carolina Law Review, 67(2), 329–368.</w:t>
      </w:r>
    </w:p>
  </w:footnote>
  <w:footnote w:id="353">
    <w:p w14:paraId="5B92D574"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Koulu, R. (2016). Blockchains and online dispute resolution: Smart contracts as an alternative to enforcement. Journal of Dispute Resolution, 13(2), 1–25.</w:t>
      </w:r>
    </w:p>
  </w:footnote>
  <w:footnote w:id="354">
    <w:p w14:paraId="2B13A9DE"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Muhammad, M. R. R. (2015). The significance of building information </w:t>
      </w:r>
      <w:r>
        <w:rPr>
          <w:lang w:val="en-US"/>
        </w:rPr>
        <w:t>modelling</w:t>
      </w:r>
      <w:r w:rsidRPr="006D3CBB">
        <w:rPr>
          <w:lang w:val="en-US"/>
        </w:rPr>
        <w:t xml:space="preserve"> to the quantity surveying practices in the UAE construction industry. 6th International Conference on Structural Engineering and Construction Management.</w:t>
      </w:r>
    </w:p>
  </w:footnote>
  <w:footnote w:id="355">
    <w:p w14:paraId="2C68849D"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Rabinovich-Einy, O., &amp; Katsh, E. (2021). Artificial intelligence and the future of dispute resolution: the Age of AI-DR. Orna Rabinovich-Einy and Ethan Katsh, “Artificial Intelligence and the Future of Dispute Resolution: The Age of AI-DR” in Online Dispute Resolution: Theory and Practice. Eleven International Publishing, 1(1), 15-95.</w:t>
      </w:r>
    </w:p>
  </w:footnote>
  <w:footnote w:id="356">
    <w:p w14:paraId="40B44224"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Rogers, C. (2010). Cross-Border Bankruptcy as a Model for Regulation of International Attorneys. Cross-Border Bankruptcy, 1(1), 45-65.</w:t>
      </w:r>
    </w:p>
  </w:footnote>
  <w:footnote w:id="357">
    <w:p w14:paraId="5E5A4760"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Scherer, M. (2019). International Arbitration 3.0 – How Artificial Intelligence Will Change Dispute Resolution. Austrian Yearbook of International Arbitration. Retrieved June 27, 2024, from https://ssrn.com/abstract=3377234</w:t>
      </w:r>
    </w:p>
  </w:footnote>
  <w:footnote w:id="358">
    <w:p w14:paraId="48712815"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Shwedeh, F., Hami, N., &amp; Baker, S. (2020). March. Effect of leadership style on policy timeliness and performance of smart city in Dubai: a review. In Proceedings of the International Conference on Industrial Engineering and Operations Management, 1(1), 917-922.</w:t>
      </w:r>
    </w:p>
  </w:footnote>
  <w:footnote w:id="359">
    <w:p w14:paraId="381B9149"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Snider, T. R., &amp; Dilevka, S. (2018, April). Artificial Intelligence and International Arbitration: Going Beyond E-mail. Al Tamimi. Retrieved June 27, 2024, from https://www.tamimi.com/law-update-articles/artificial-intelligence-and-international-arbitration-going-beyond-e-mail/</w:t>
      </w:r>
    </w:p>
  </w:footnote>
  <w:footnote w:id="360">
    <w:p w14:paraId="14A16754"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Wang, M., &amp; Jiang, Z. (2017). The defining approaches and practical paradox of sensitive data: An investigation of data protection laws in 92 countries and regions and 200 data breaches in the world. International Journal of Communication, 11(1), 20.</w:t>
      </w:r>
    </w:p>
  </w:footnote>
  <w:footnote w:id="361">
    <w:p w14:paraId="0F05B1C6" w14:textId="77777777" w:rsidR="00CD0E06" w:rsidRPr="006D3CBB" w:rsidRDefault="00CD0E06" w:rsidP="00F073C0">
      <w:pPr>
        <w:pStyle w:val="FootnoteText"/>
        <w:rPr>
          <w:lang w:val="en-US"/>
        </w:rPr>
      </w:pPr>
      <w:r>
        <w:rPr>
          <w:rStyle w:val="FootnoteReference"/>
        </w:rPr>
        <w:footnoteRef/>
      </w:r>
      <w:r>
        <w:t xml:space="preserve"> </w:t>
      </w:r>
      <w:r w:rsidRPr="006D3CBB">
        <w:rPr>
          <w:lang w:val="en-US"/>
        </w:rPr>
        <w:t>Zegers, J. (2014). Recognition and Enforcement of Foreign Arbitral Awards in Saudi Arabia. BCDR International Arbitration Review, 1(1), 44-56; DOI: 10.54648/bcdr2014006.</w:t>
      </w:r>
    </w:p>
  </w:footnote>
  <w:footnote w:id="362">
    <w:p w14:paraId="6881AB81"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Zeleznikow, J. (2016). Can artificial intelligence and online dispute resolution enhance efficiency and effectiveness in courts? International Journal for Court Administration, 8(1), 5–20.</w:t>
      </w:r>
    </w:p>
  </w:footnote>
  <w:footnote w:id="363">
    <w:p w14:paraId="519D6501"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Wang, M., &amp; Jiang, Z. (2017). The defining approaches and practical paradox of sensitive data: An investigation of data protection laws in 92 countries and regions and 200 data breaches in the world. International Journal of Communication, 11(1), 20.</w:t>
      </w:r>
    </w:p>
  </w:footnote>
  <w:footnote w:id="364">
    <w:p w14:paraId="1E38BBD8"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Tamimi. (2024). Breaking: UAE Ushers in Changes to the Arbitration Law. Retrieved April 03, 2024, from https://www.tamimi.com/news/breaking-uae-ushers-in-changes-to-the-arbitration-law/</w:t>
      </w:r>
    </w:p>
  </w:footnote>
  <w:footnote w:id="365">
    <w:p w14:paraId="018B1734"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Swissarbitration. (2024). Swiss Rules of International Arbitration Practice Note. Retrieved April 03, 2024, from https://www.swissarbitration.org/wp-content/uploads/2023/03/Swiss-Rules-of-International-Arbitration-Practice-Note-27.03.2023.pdf</w:t>
      </w:r>
    </w:p>
  </w:footnote>
  <w:footnote w:id="366">
    <w:p w14:paraId="5005CF2D"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Soares, F. U. (2018). New technologies and arbitration. Indian Journal of Arbitration Law, 7(1). Retrieved July 12, 2024, from http://ijal.in/sites/default/files/IJAL_Volume_7_Issue_1_Francisco_Uribarri_Soares.pdf</w:t>
      </w:r>
    </w:p>
  </w:footnote>
  <w:footnote w:id="367">
    <w:p w14:paraId="09E9CE6A"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Shwedeh, F., Hami, N., &amp; Baker, S. (2020). March. Effect of leadership style on policy timeliness and performance of smart city in Dubai: a review. In Proceedings of the International Conference on Industrial Engineering and Operations Management, 1(1), 917-922.</w:t>
      </w:r>
    </w:p>
  </w:footnote>
  <w:footnote w:id="368">
    <w:p w14:paraId="69A06803"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Scherer, M. (2019). Artificial intelligence and legal decision-making: The wide open? Journal of International Arbitration, 36(5), 539–574. Retrieved July 12, 2024, from https://doi.org/10.54648/joia2019028</w:t>
      </w:r>
    </w:p>
  </w:footnote>
  <w:footnote w:id="369">
    <w:p w14:paraId="49C31B13"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Ruckteschler, D., &amp; Stooss, T. (2019). International commercial courts: A superior alternative to arbitration? Journal of International Arbitration, 36(4), 431–449. Retrieved April 15, 2024, from https://doi.org/10.54648/joia2019022</w:t>
      </w:r>
    </w:p>
  </w:footnote>
  <w:footnote w:id="370">
    <w:p w14:paraId="5CF27587"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Reyes, A., &amp; Gu, W. (2021). Multi-tier Approaches to the Resolution of International Disputes: A Global and Comparative Study (1 ed.). London: Cambridge University Press.</w:t>
      </w:r>
    </w:p>
  </w:footnote>
  <w:footnote w:id="371">
    <w:p w14:paraId="5C939CC6"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Rabinovich-Einy, O., &amp; Katsh, E. (2021). Artificial intelligence and the future of dispute resolution: the Age of AI-DR. Orna Rabinovich-Einy and Ethan Katsh, “Artificial Intelligence and the Future of Dispute Resolution: The Age of AI-DR” in Online Dispute Resolution: Theory and Practice. Eleven International Publishing, 1(1), 15-95.</w:t>
      </w:r>
    </w:p>
  </w:footnote>
  <w:footnote w:id="372">
    <w:p w14:paraId="25F244E1"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Muhammad, M. R. R. (2015). The significance of building information </w:t>
      </w:r>
      <w:r>
        <w:rPr>
          <w:lang w:val="en-US"/>
        </w:rPr>
        <w:t>modelling</w:t>
      </w:r>
      <w:r w:rsidRPr="006D3CBB">
        <w:rPr>
          <w:lang w:val="en-US"/>
        </w:rPr>
        <w:t xml:space="preserve"> to the quantity surveying practices in the UAE construction industry. 6th International Conference on Structural Engineering and Construction Management.</w:t>
      </w:r>
    </w:p>
  </w:footnote>
  <w:footnote w:id="373">
    <w:p w14:paraId="5A492342"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Mania, K. (2015, October 15). Online dispute resolution: The future of justice. International Comparative Jurisprudence, 1(1), 76–86. Retrieved April 2, 2024, from https://doi.org/10.1016/j.icj.2015.10.006</w:t>
      </w:r>
    </w:p>
  </w:footnote>
  <w:footnote w:id="374">
    <w:p w14:paraId="42DA8BAB"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Koulu, R. (2016). Blockchains and online dispute resolution: Smart contracts as an alternative to enforcement. Journal of Dispute Resolution, 13(2), 1–25.</w:t>
      </w:r>
    </w:p>
  </w:footnote>
  <w:footnote w:id="375">
    <w:p w14:paraId="552D0027"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Giupponi, B. (2022). “Virtual” Dispute Resolution in International Arbitration: Mapping Its Advantages and Main Caveats in the Face of COVID-19. In The Impact of Covid on International Disputes, 62-83; DOI: 10.1163/9789004514836_005.</w:t>
      </w:r>
    </w:p>
  </w:footnote>
  <w:footnote w:id="376">
    <w:p w14:paraId="3A6BBAA0"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 xml:space="preserve">    Dent-Spargo, T. (2018, March 5). Lawyer versus robot. Robotics Law Journal. Retrieved June 27, 2024, from https://roboticslawjournal.com/analysis/lawyer-versus-robot-12590026</w:t>
      </w:r>
    </w:p>
  </w:footnote>
  <w:footnote w:id="377">
    <w:p w14:paraId="51E35986"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Davis, M. (2022). Legal recognition of blockchain-based arbitration awards: A comparative study. Global Law Review, 41(3), 211-234.</w:t>
      </w:r>
    </w:p>
  </w:footnote>
  <w:footnote w:id="378">
    <w:p w14:paraId="19EE5BE0"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Chandra, G. R. (2016). Cyber space for universal peace: The contribution of online dispute resolution. IUP Law Review, 6(1), 23–45.</w:t>
      </w:r>
    </w:p>
  </w:footnote>
  <w:footnote w:id="379">
    <w:p w14:paraId="68474CF5"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Birt, L., Scott, S., Cavers, D., Campbell, C., &amp; Walter, F. (2016). Member checking: A tool to enhance trustworthiness or merely a nod to validation? Qualitative Health Research, 26(13), 1802–1811.</w:t>
      </w:r>
    </w:p>
  </w:footnote>
  <w:footnote w:id="380">
    <w:p w14:paraId="12602FC5"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Bakhramova, M. (2022). Procedures and Legal Regulation of Disputes in Online Arbitration. EUROPEAN JOURNAL OF INNOVATION IN NONFORMAL EDUCATION, 2(1), 293-298; ISSN: 2795-8612.</w:t>
      </w:r>
    </w:p>
  </w:footnote>
  <w:footnote w:id="381">
    <w:p w14:paraId="0F15471A"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Awwad, R., Barakat, B., &amp; Menassa, C. (2016). Understanding dispute resolution in the Middle East region from perspectives of different stakeholders. Journal of Management in Engineering, 32(6), 05016019; DOi: 10.1061/(ASCE)ME.1943-5479.0000465.</w:t>
      </w:r>
    </w:p>
  </w:footnote>
  <w:footnote w:id="382">
    <w:p w14:paraId="3E555C34"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ALKETBI, H. (2021). Arbitrators Appointment: Process, Challenges and Remedies (Doctoral dissertation. The British University in Dubai (BUiD)), 1(1), 14-96.</w:t>
      </w:r>
    </w:p>
  </w:footnote>
  <w:footnote w:id="383">
    <w:p w14:paraId="6BBF13B9" w14:textId="77777777" w:rsidR="00CD0E06" w:rsidRPr="00E73383" w:rsidRDefault="00CD0E06" w:rsidP="00F073C0">
      <w:pPr>
        <w:pStyle w:val="FootnoteText"/>
        <w:rPr>
          <w:lang w:val="en-US"/>
        </w:rPr>
      </w:pPr>
      <w:r>
        <w:rPr>
          <w:rStyle w:val="FootnoteReference"/>
        </w:rPr>
        <w:footnoteRef/>
      </w:r>
      <w:r>
        <w:t xml:space="preserve"> </w:t>
      </w:r>
      <w:r w:rsidRPr="006D3CBB">
        <w:rPr>
          <w:lang w:val="en-US"/>
        </w:rPr>
        <w:t>Ahmed, S., &amp; Foster, L. (2025). Cybersecurity and confidentiality in online arbitration: A global perspective. International Arbitration Journal, 42(3), 245-267.</w:t>
      </w:r>
    </w:p>
  </w:footnote>
  <w:footnote w:id="384">
    <w:p w14:paraId="1C64A26F"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Global Arbitration Review (GAR) Reports on Arbitration Trends in the Middle East, Available at: https://globalarbitrationreview.com</w:t>
      </w:r>
    </w:p>
  </w:footnote>
  <w:footnote w:id="385">
    <w:p w14:paraId="5BB84A79"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Giupponi, B. (2022). “Virtual” Dispute Resolution in International Arbitration: Mapping Its Advantages and Main Caveats in the Face of COVID-19. In The Impact of Covid on International Disputes, 62-83; DOI: 10.1163/9789004514836_005.</w:t>
      </w:r>
    </w:p>
  </w:footnote>
  <w:footnote w:id="386">
    <w:p w14:paraId="480DEF1B"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 xml:space="preserve">    Hague Conference on Private International Law. (</w:t>
      </w:r>
      <w:r>
        <w:rPr>
          <w:lang w:val="en-US"/>
        </w:rPr>
        <w:t>2024</w:t>
      </w:r>
      <w:r w:rsidRPr="008B0541">
        <w:rPr>
          <w:lang w:val="en-US"/>
        </w:rPr>
        <w:t>). Apostille Section. Retrieved April 10, 2024, from https://www.hcch.net/en/instruments/conventions/specialised-sections/apostille</w:t>
      </w:r>
    </w:p>
  </w:footnote>
  <w:footnote w:id="387">
    <w:p w14:paraId="599AAEE8"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 xml:space="preserve">    Kaufmann-Kohler, G. (2005). Online dispute resolution and its significance for international commercial arbitration. In G. Aksen et al. (Eds.), Global reflections on international law, commerce and dispute resolution: Liber amicorum in honour of Robert Briner (pp. 440–445). ICC Publishing.</w:t>
      </w:r>
    </w:p>
  </w:footnote>
  <w:footnote w:id="388">
    <w:p w14:paraId="1E34DACB"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Mania, K. (2015). Online dispute resolution: The future of justice. International Comparative Jurisprudence, 1(1), 76–90.</w:t>
      </w:r>
    </w:p>
  </w:footnote>
  <w:footnote w:id="389">
    <w:p w14:paraId="6CBA4F6C"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Martinez, L., &amp; Brown, H. (2023). Data protection and GDPR compliance in online arbitration. European Law Review, 40(3), 198-221.</w:t>
      </w:r>
    </w:p>
  </w:footnote>
  <w:footnote w:id="390">
    <w:p w14:paraId="4285CC7C"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La Torre Jeker, V., &amp; Others. (2006). E-transaction law and online dispute resolution: A necessity in the Middle East. Arab Law Quarterly, 20(1), 43–65.</w:t>
      </w:r>
    </w:p>
  </w:footnote>
  <w:footnote w:id="391">
    <w:p w14:paraId="22027A67"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 xml:space="preserve">    Mania, K. (2015, October 15). Online dispute resolution: The future of justice. International Comparative Jurisprudence, 1(1), 76–86. Retrieved April 2, 2024, from https://doi.org/10.1016/j.icj.2015.10.006</w:t>
      </w:r>
    </w:p>
  </w:footnote>
  <w:footnote w:id="392">
    <w:p w14:paraId="541E9496"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 xml:space="preserve">    National </w:t>
      </w:r>
      <w:r>
        <w:rPr>
          <w:lang w:val="en-US"/>
        </w:rPr>
        <w:t>Centre</w:t>
      </w:r>
      <w:r w:rsidRPr="008B0541">
        <w:rPr>
          <w:lang w:val="en-US"/>
        </w:rPr>
        <w:t xml:space="preserve"> for Technology &amp; Dispute Resolution (NCTDR). (</w:t>
      </w:r>
      <w:r>
        <w:rPr>
          <w:lang w:val="en-US"/>
        </w:rPr>
        <w:t>2024</w:t>
      </w:r>
      <w:r w:rsidRPr="008B0541">
        <w:rPr>
          <w:lang w:val="en-US"/>
        </w:rPr>
        <w:t>). Ethan Katsh, founder. Amherst, Mass. NCTDR. Retrieved April 4, 2024, from https://odr.info/ethan-katsh/</w:t>
      </w:r>
    </w:p>
  </w:footnote>
  <w:footnote w:id="393">
    <w:p w14:paraId="34373029"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 xml:space="preserve">    Prins, J. E. J., De Hert, P., &amp; others. (2002). Trust in electronic commerce: The role of trust from a legal, an </w:t>
      </w:r>
      <w:r>
        <w:rPr>
          <w:lang w:val="en-US"/>
        </w:rPr>
        <w:t>organisation</w:t>
      </w:r>
      <w:r w:rsidRPr="008B0541">
        <w:rPr>
          <w:lang w:val="en-US"/>
        </w:rPr>
        <w:t>al, and a technical point of view. Kluwer Law International.</w:t>
      </w:r>
    </w:p>
  </w:footnote>
  <w:footnote w:id="394">
    <w:p w14:paraId="443F5D6D"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 xml:space="preserve">    Scherer, M. (2019). Artificial intelligence and legal decision-making: The wide open? Journal of International Arbitration, 36(5), 539–574. Retrieved July 12, 2024, from https://doi.org/10.54648/joia2019028</w:t>
      </w:r>
    </w:p>
  </w:footnote>
  <w:footnote w:id="395">
    <w:p w14:paraId="4DEFF1D8"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 xml:space="preserve">    Snider, T. R., &amp; Dilevka, S. (2018, April). Artificial Intelligence and International Arbitration: Going Beyond E-mail. Al Tamimi. Retrieved June 27, 2024, from https://www.tamimi.com/law-update-articles/artificial-intelligence-and-international-arbitration-going-beyond-e-mail/</w:t>
      </w:r>
    </w:p>
  </w:footnote>
  <w:footnote w:id="396">
    <w:p w14:paraId="091DBDBE"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Swissarbitration. (2024). Swiss Rules of International Arbitration Practice Note. Retrieved April 03, 2024, from https://www.swissarbitration.org/wp-content/uploads/2023/03/Swiss-Rules-of-International-Arbitration-Practice-Note-27.03.2023.pdf</w:t>
      </w:r>
    </w:p>
  </w:footnote>
  <w:footnote w:id="397">
    <w:p w14:paraId="5504E66F"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 xml:space="preserve">    Abdel Wahab, M. S., &amp; Katsh, E. (2018). Revolutionizing technologies and the use of technology in international arbitration: Innovation, legitimacy, prospects and challenges. In M. Piers &amp; C. Aschauer (Eds.), Arbitration in the digital age: The brave new world of arbitration (pp. 31–51). Cambridge University Press.</w:t>
      </w:r>
    </w:p>
  </w:footnote>
  <w:footnote w:id="398">
    <w:p w14:paraId="380903F2"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Al-Sharrah, A., &amp; El-Darwiche, A. (2021). Online Arbitration and its Future. Journal of International Commercial Law and Technology, 16(3), 232-249.</w:t>
      </w:r>
    </w:p>
  </w:footnote>
  <w:footnote w:id="399">
    <w:p w14:paraId="4CE929AA"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Awwad, R., Barakat, B., &amp; Menassa, C. (2016). Understanding dispute resolution in the Middle East region from perspectives of different stakeholders. Journal of Management in Engineering, 32(5), 5016019.</w:t>
      </w:r>
    </w:p>
  </w:footnote>
  <w:footnote w:id="400">
    <w:p w14:paraId="27F034ED"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Calzolaio, E. (2020). Richard SUSSKIND: Online courts and the future of justice. Journal of Constitutional History, 344.</w:t>
      </w:r>
    </w:p>
  </w:footnote>
  <w:footnote w:id="401">
    <w:p w14:paraId="452B3D97" w14:textId="77777777" w:rsidR="00CD0E06" w:rsidRPr="00E73383" w:rsidRDefault="00CD0E06" w:rsidP="00F073C0">
      <w:pPr>
        <w:pStyle w:val="FootnoteText"/>
        <w:rPr>
          <w:lang w:val="en-US"/>
        </w:rPr>
      </w:pPr>
      <w:r>
        <w:rPr>
          <w:rStyle w:val="FootnoteReference"/>
        </w:rPr>
        <w:footnoteRef/>
      </w:r>
      <w:r>
        <w:t xml:space="preserve"> </w:t>
      </w:r>
      <w:r w:rsidRPr="008B0541">
        <w:rPr>
          <w:lang w:val="en-US"/>
        </w:rPr>
        <w:t xml:space="preserve">    Danziger, S., Levav, J., &amp; Avnaim-Pesso, L. (2011, April 26). Extraneous factors in judicial decisions. Proceedings of the National Academy of Sciences of the United States of America, 108(17), 6889–6892. Retrieved May 7, 2024, from https://www.pnas.org/content/108/17/6889</w:t>
      </w:r>
    </w:p>
  </w:footnote>
  <w:footnote w:id="402">
    <w:p w14:paraId="26E6AD5D" w14:textId="77777777" w:rsidR="00CD0E06" w:rsidRPr="008A32F0" w:rsidRDefault="00CD0E06" w:rsidP="00F073C0">
      <w:pPr>
        <w:pStyle w:val="FootnoteText"/>
        <w:rPr>
          <w:lang w:val="en-US"/>
        </w:rPr>
      </w:pPr>
      <w:r>
        <w:rPr>
          <w:rStyle w:val="FootnoteReference"/>
        </w:rPr>
        <w:footnoteRef/>
      </w:r>
      <w:r>
        <w:t xml:space="preserve"> </w:t>
      </w:r>
      <w:r w:rsidRPr="008A32F0">
        <w:t>(Muhammad, 2015).</w:t>
      </w:r>
    </w:p>
  </w:footnote>
  <w:footnote w:id="403">
    <w:p w14:paraId="7A9584A6" w14:textId="77777777" w:rsidR="00CD0E06" w:rsidRPr="008A32F0" w:rsidRDefault="00CD0E06" w:rsidP="00F073C0">
      <w:pPr>
        <w:pStyle w:val="FootnoteText"/>
        <w:rPr>
          <w:lang w:val="en-US"/>
        </w:rPr>
      </w:pPr>
      <w:r>
        <w:rPr>
          <w:rStyle w:val="FootnoteReference"/>
        </w:rPr>
        <w:footnoteRef/>
      </w:r>
      <w:r>
        <w:t xml:space="preserve"> </w:t>
      </w:r>
      <w:r w:rsidRPr="008A32F0">
        <w:t>(Rabinovich-Einy &amp; Katsh, 2019).</w:t>
      </w:r>
    </w:p>
  </w:footnote>
  <w:footnote w:id="404">
    <w:p w14:paraId="550ED987" w14:textId="77777777" w:rsidR="00CD0E06" w:rsidRPr="008A32F0" w:rsidRDefault="00CD0E06" w:rsidP="00F073C0">
      <w:pPr>
        <w:pStyle w:val="FootnoteText"/>
      </w:pPr>
      <w:r>
        <w:rPr>
          <w:rStyle w:val="FootnoteReference"/>
        </w:rPr>
        <w:footnoteRef/>
      </w:r>
      <w:r>
        <w:t xml:space="preserve"> </w:t>
      </w:r>
      <w:r w:rsidRPr="008A32F0">
        <w:t>(Rickard &amp; Naqui, 2021).</w:t>
      </w:r>
    </w:p>
  </w:footnote>
  <w:footnote w:id="405">
    <w:p w14:paraId="35BBE862" w14:textId="77777777" w:rsidR="00CD0E06" w:rsidRPr="00A82645" w:rsidRDefault="00CD0E06" w:rsidP="00F073C0">
      <w:pPr>
        <w:pStyle w:val="FootnoteText"/>
        <w:rPr>
          <w:lang w:val="en-US"/>
        </w:rPr>
      </w:pPr>
      <w:r>
        <w:rPr>
          <w:rStyle w:val="FootnoteReference"/>
        </w:rPr>
        <w:footnoteRef/>
      </w:r>
      <w:r>
        <w:t xml:space="preserve"> </w:t>
      </w:r>
      <w:r w:rsidRPr="00A82645">
        <w:t>Koh HH, ‘The “Gants Principles” for Online Dispute Resolution: Realizing the Chief Justice’s Vision for Courts in the Cloud’ (2021) 62(7) Boston College Law Review 2768.</w:t>
      </w:r>
    </w:p>
  </w:footnote>
  <w:footnote w:id="406">
    <w:p w14:paraId="04CED75D" w14:textId="77777777" w:rsidR="00CD0E06" w:rsidRPr="00EB7DC7" w:rsidRDefault="00CD0E06" w:rsidP="00F073C0">
      <w:pPr>
        <w:pStyle w:val="FootnoteText"/>
        <w:rPr>
          <w:lang w:val="en-US"/>
        </w:rPr>
      </w:pPr>
      <w:r w:rsidRPr="00EB7DC7">
        <w:rPr>
          <w:rStyle w:val="FootnoteReference"/>
        </w:rPr>
        <w:footnoteRef/>
      </w:r>
      <w:r w:rsidRPr="00EB7DC7">
        <w:t xml:space="preserve"> </w:t>
      </w:r>
      <w:r w:rsidRPr="00EB7DC7">
        <w:rPr>
          <w:rFonts w:asciiTheme="majorBidi" w:hAnsiTheme="majorBidi" w:cstheme="majorBidi"/>
        </w:rPr>
        <w:t>Johnston MP, ‘Secondary Data Analysis: A Method of Which the Time Has Come’ (2017)</w:t>
      </w:r>
    </w:p>
  </w:footnote>
  <w:footnote w:id="407">
    <w:p w14:paraId="0E28C382" w14:textId="77777777" w:rsidR="00CD0E06" w:rsidRPr="00973844" w:rsidRDefault="00CD0E06" w:rsidP="00F073C0">
      <w:pPr>
        <w:pStyle w:val="FootnoteText"/>
        <w:rPr>
          <w:lang w:val="en-US"/>
        </w:rPr>
      </w:pPr>
      <w:r w:rsidRPr="00EB7DC7">
        <w:rPr>
          <w:rStyle w:val="FootnoteReference"/>
        </w:rPr>
        <w:footnoteRef/>
      </w:r>
      <w:r w:rsidRPr="00EB7DC7">
        <w:t xml:space="preserve"> </w:t>
      </w:r>
      <w:r w:rsidRPr="00EB7DC7">
        <w:fldChar w:fldCharType="begin" w:fldLock="1"/>
      </w:r>
      <w:r w:rsidRPr="00EB7DC7">
        <w:instrText>ADDIN CSL_CITATION {"citationItems":[{"id":"ITEM-1","itemData":{"ISSN":"2241-1925","author":[{"dropping-particle":"","family":"Johnston","given":"Melissa P","non-dropping-particle":"","parse-names":false,"suffix":""}],"container-title":"Qualitative and quantitative methods in libraries","id":"ITEM-1","issue":"3","issued":{"date-parts":[["2017"]]},"page":"619-626","title":"Secondary data analysis: A method of which the time has come","type":"article-journal","volume":"3"},"uris":["http://www.mendeley.com/documents/?uuid=afd7422c-54f9-4951-88ba-2c24ab1e812d"]}],"mendeley":{"formattedCitation":"Johnston (n 44).","plainTextFormattedCitation":"Johnston (n 44).","previouslyFormattedCitation":"Johnston (n 45)."},"properties":{"noteIndex":47},"schema":"https://github.com/citation-style-language/schema/raw/master/csl-citation.json"}</w:instrText>
      </w:r>
      <w:r w:rsidRPr="00EB7DC7">
        <w:fldChar w:fldCharType="separate"/>
      </w:r>
      <w:r w:rsidRPr="00EB7DC7">
        <w:rPr>
          <w:rFonts w:asciiTheme="majorBidi" w:hAnsiTheme="majorBidi" w:cstheme="majorBidi"/>
        </w:rPr>
        <w:t xml:space="preserve"> Johnston MP, ‘Secondary Data Analysis: A Method of Which the Time Has Come’ (2017) </w:t>
      </w:r>
      <w:r w:rsidRPr="00EB7DC7">
        <w:rPr>
          <w:noProof/>
        </w:rPr>
        <w:t xml:space="preserve"> (n 44).</w:t>
      </w:r>
      <w:r w:rsidRPr="00EB7DC7">
        <w:fldChar w:fldCharType="end"/>
      </w:r>
    </w:p>
  </w:footnote>
  <w:footnote w:id="408">
    <w:p w14:paraId="4CE118F5" w14:textId="77777777" w:rsidR="00CD0E06" w:rsidRPr="00973844" w:rsidRDefault="00CD0E06" w:rsidP="00F073C0">
      <w:pPr>
        <w:pStyle w:val="FootnoteText"/>
        <w:rPr>
          <w:lang w:val="en-US"/>
        </w:rPr>
      </w:pPr>
      <w:r>
        <w:rPr>
          <w:rStyle w:val="FootnoteReference"/>
        </w:rPr>
        <w:footnoteRef/>
      </w:r>
      <w:r>
        <w:t xml:space="preserve"> </w:t>
      </w:r>
      <w:r>
        <w:fldChar w:fldCharType="begin" w:fldLock="1"/>
      </w:r>
      <w:r>
        <w:instrText>ADDIN CSL_CITATION {"citationItems":[{"id":"ITEM-1","itemData":{"ISSN":"1931-1540","author":[{"dropping-particle":"","family":"Fusch","given":"Patricia","non-dropping-particle":"","parse-names":false,"suffix":""},{"dropping-particle":"","family":"Fusch","given":"Gene E","non-dropping-particle":"","parse-names":false,"suffix":""},{"dropping-particle":"","family":"Ness","given":"Lawrence R","non-dropping-particle":"","parse-names":false,"suffix":""}],"container-title":"Journal of social change","id":"ITEM-1","issue":"1","issued":{"date-parts":[["2018"]]},"page":"2","title":"Denzins paradigm shift: Revisiting triangulation in qualitative research","type":"article-journal","volume":"10"},"uris":["http://www.mendeley.com/documents/?uuid=2102bd1a-0d9d-4660-bd1e-685b8dc60c72"]}],"mendeley":{"formattedCitation":"Patricia Fusch, Gene E Fusch and Lawrence R Ness, ‘Denzins Paradigm Shift: Revisiting Triangulation in Qualitative Research’ (2018) 10 Journal of social change 2 &lt;https://scholarworks.waldenu.edu/jsc/vol10/iss1/2/&gt;.","plainTextFormattedCitation":"Patricia Fusch, Gene E Fusch and Lawrence R Ness, ‘Denzins Paradigm Shift: Revisiting Triangulation in Qualitative Research’ (2018) 10 Journal of social change 2 .","previouslyFormattedCitation":"Patricia Fusch, Gene E Fusch and Lawrence R Ness, ‘Denzins Paradigm Shift: Revisiting Triangulation in Qualitative Research’ (2018) 10 Journal of social change 2 &lt;https://scholarworks.waldenu.edu/jsc/vol10/iss1/2/&gt;."},"properties":{"noteIndex":48},"schema":"https://github.com/citation-style-language/schema/raw/master/csl-citation.json"}</w:instrText>
      </w:r>
      <w:r>
        <w:fldChar w:fldCharType="separate"/>
      </w:r>
      <w:r w:rsidRPr="001303D9">
        <w:rPr>
          <w:noProof/>
        </w:rPr>
        <w:t>Patricia Fusch, Gene E Fusch and Lawrence R Ness, ‘Denzins Paradigm Shift: Revisiting Triangulation in Qualitative Research’ (2018) 10 Journal of social change 2 &lt;https://scholarworks.waldenu.edu/jsc/vol10/iss1/2/&gt;.</w:t>
      </w:r>
      <w:r>
        <w:fldChar w:fldCharType="end"/>
      </w:r>
    </w:p>
  </w:footnote>
  <w:footnote w:id="409">
    <w:p w14:paraId="72875AD3" w14:textId="77777777" w:rsidR="00CD0E06" w:rsidRPr="00973844" w:rsidRDefault="00CD0E06" w:rsidP="00F073C0">
      <w:pPr>
        <w:pStyle w:val="FootnoteText"/>
        <w:rPr>
          <w:lang w:val="en-US"/>
        </w:rPr>
      </w:pPr>
      <w:r>
        <w:rPr>
          <w:rStyle w:val="FootnoteReference"/>
        </w:rPr>
        <w:footnoteRef/>
      </w:r>
      <w:r>
        <w:t xml:space="preserve"> </w:t>
      </w:r>
      <w:r>
        <w:fldChar w:fldCharType="begin" w:fldLock="1"/>
      </w:r>
      <w:r>
        <w:instrText>ADDIN CSL_CITATION {"citationItems":[{"id":"ITEM-1","itemData":{"ISSN":"1052-0147","author":[{"dropping-particle":"","family":"Williams","given":"Heath","non-dropping-particle":"","parse-names":false,"suffix":""}],"container-title":"The Qualitative Report","id":"ITEM-1","issue":"2","issued":{"date-parts":[["2021"]]},"page":"366-385","publisher":"The Qualitative Report","title":"The Meaning of\" Phenomenology\": Qualitative and Philosophical Phenomenological Research Methods","type":"article-journal","volume":"26"},"uris":["http://www.mendeley.com/documents/?uuid=51f000e5-a8ea-45f8-b98f-ba35af3b4ab5"]}],"mendeley":{"formattedCitation":"Williams, ‘The Meaning of\" Phenomenology\": Qualitative and Philosophical Phenomenological Research Methods’ (n 41).","plainTextFormattedCitation":"Williams, ‘The Meaning of\" Phenomenology\": Qualitative and Philosophical Phenomenological Research Methods’ (n 41).","previouslyFormattedCitation":"Williams, ‘The Meaning of\" Phenomenology\": Qualitative and Philosophical Phenomenological Research Methods’ (n 41)."},"properties":{"noteIndex":49},"schema":"https://github.com/citation-style-language/schema/raw/master/csl-citation.json"}</w:instrText>
      </w:r>
      <w:r>
        <w:fldChar w:fldCharType="separate"/>
      </w:r>
      <w:r w:rsidRPr="00973844">
        <w:rPr>
          <w:noProof/>
        </w:rPr>
        <w:t>Williams, ‘The Meaning of" Phenomenology": Qualitative and Philosophical Phenomenological Research Methods’ (n 41).</w:t>
      </w:r>
      <w:r>
        <w:fldChar w:fldCharType="end"/>
      </w:r>
    </w:p>
  </w:footnote>
  <w:footnote w:id="410">
    <w:p w14:paraId="4DB4391A" w14:textId="77777777" w:rsidR="00CD0E06" w:rsidRPr="00973844" w:rsidRDefault="00CD0E06" w:rsidP="00F073C0">
      <w:pPr>
        <w:pStyle w:val="FootnoteText"/>
        <w:rPr>
          <w:lang w:val="en-US"/>
        </w:rPr>
      </w:pPr>
      <w:r>
        <w:rPr>
          <w:rStyle w:val="FootnoteReference"/>
        </w:rPr>
        <w:footnoteRef/>
      </w:r>
      <w:r>
        <w:t xml:space="preserve"> </w:t>
      </w:r>
      <w:r>
        <w:fldChar w:fldCharType="begin" w:fldLock="1"/>
      </w:r>
      <w:r>
        <w:instrText>ADDIN CSL_CITATION {"citationItems":[{"id":"ITEM-1","itemData":{"ISSN":"1469-8684","author":[{"dropping-particle":"","family":"Williams","given":"Malcolm","non-dropping-particle":"","parse-names":false,"suffix":""}],"container-title":"Sociology","id":"ITEM-1","issue":"2","issued":{"date-parts":[["2000"]]},"page":"209-224","publisher":"Cambridge University Press","title":"Interpretivism and generalisation","type":"article-journal","volume":"34"},"uris":["http://www.mendeley.com/documents/?uuid=4206958a-87da-4662-9914-6a617d25a6fe"]}],"mendeley":{"formattedCitation":"Malcolm Williams, ‘Interpretivism and Generalisation’ (2000) 34 Sociology 209 &lt;https://www.cambridge.org/core/journals/sociology/article/interpretivism-and-generalisation/B77F9B4133790AEB0F96C162BB0CC763&gt;.","plainTextFormattedCitation":"Malcolm Williams, ‘Interpretivism and Generalisation’ (2000) 34 Sociology 209 .","previouslyFormattedCitation":"Malcolm Williams, ‘Interpretivism and Generalisation’ (2000) 34 Sociology 209 &lt;https://www.cambridge.org/core/journals/sociology/article/interpretivism-and-generalisation/B77F9B4133790AEB0F96C162BB0CC763&gt;."},"properties":{"noteIndex":50},"schema":"https://github.com/citation-style-language/schema/raw/master/csl-citation.json"}</w:instrText>
      </w:r>
      <w:r>
        <w:fldChar w:fldCharType="separate"/>
      </w:r>
      <w:r w:rsidRPr="001303D9">
        <w:rPr>
          <w:noProof/>
        </w:rPr>
        <w:t>Malcolm Williams, ‘Interpretivism and Generalisation’ (2000) 34 Sociology 209 &lt;https://www.cambridge.org/core/journals/sociology/article/interpretivism-and-generalisation/B77F9B4133790AEB0F96C162BB0CC763&gt;.</w:t>
      </w:r>
      <w:r>
        <w:fldChar w:fldCharType="end"/>
      </w:r>
    </w:p>
  </w:footnote>
  <w:footnote w:id="411">
    <w:p w14:paraId="15FF7C61" w14:textId="77777777" w:rsidR="00CD0E06" w:rsidRPr="00AE6CFC" w:rsidRDefault="00CD0E06" w:rsidP="00F073C0">
      <w:pPr>
        <w:pStyle w:val="FootnoteText"/>
        <w:rPr>
          <w:lang w:val="en-US"/>
        </w:rPr>
      </w:pPr>
      <w:r>
        <w:rPr>
          <w:rStyle w:val="FootnoteReference"/>
        </w:rPr>
        <w:footnoteRef/>
      </w:r>
      <w:r>
        <w:t xml:space="preserve"> </w:t>
      </w:r>
      <w:r>
        <w:fldChar w:fldCharType="begin" w:fldLock="1"/>
      </w:r>
      <w:r>
        <w:instrText>ADDIN CSL_CITATION {"citationItems":[{"id":"ITEM-1","itemData":{"ISSN":"1469-8684","author":[{"dropping-particle":"","family":"Williams","given":"Malcolm","non-dropping-particle":"","parse-names":false,"suffix":""}],"container-title":"Sociology","id":"ITEM-1","issue":"2","issued":{"date-parts":[["2000"]]},"page":"209-224","publisher":"Cambridge University Press","title":"Interpretivism and generalisation","type":"article-journal","volume":"34"},"uris":["http://www.mendeley.com/documents/?uuid=4206958a-87da-4662-9914-6a617d25a6fe"]}],"mendeley":{"formattedCitation":"Williams, ‘Interpretivism and Generalisation’ (n 50).","plainTextFormattedCitation":"Williams, ‘Interpretivism and Generalisation’ (n 50).","previouslyFormattedCitation":"Williams, ‘Interpretivism and Generalisation’ (n 51)."},"properties":{"noteIndex":51},"schema":"https://github.com/citation-style-language/schema/raw/master/csl-citation.json"}</w:instrText>
      </w:r>
      <w:r>
        <w:fldChar w:fldCharType="separate"/>
      </w:r>
      <w:r w:rsidRPr="001303D9">
        <w:rPr>
          <w:noProof/>
        </w:rPr>
        <w:t>Williams, ‘Interpretivism and Generalisation’ (n 50).</w:t>
      </w:r>
      <w:r>
        <w:fldChar w:fldCharType="end"/>
      </w:r>
    </w:p>
  </w:footnote>
  <w:footnote w:id="412">
    <w:p w14:paraId="0553583A" w14:textId="77777777" w:rsidR="00CD0E06" w:rsidRDefault="00CD0E06" w:rsidP="00F073C0">
      <w:pPr>
        <w:pStyle w:val="FootnoteText"/>
      </w:pPr>
      <w:r>
        <w:rPr>
          <w:rStyle w:val="FootnoteReference"/>
        </w:rPr>
        <w:footnoteRef/>
      </w:r>
      <w:r>
        <w:t xml:space="preserve"> Sulistianingsih, D., Rante Lembang, A. A., Adhi, Y. P., &amp; Prabowo, M. S. (2023, May 4). Online dispute resolution: Does the system actually enhance the mediation framework? Cogent Social Sciences, 9(1). </w:t>
      </w:r>
      <w:hyperlink r:id="rId10" w:history="1">
        <w:r>
          <w:rPr>
            <w:rStyle w:val="Hyperlink"/>
          </w:rPr>
          <w:t>https://doi.org/10.1080/23311886.2023.2206348</w:t>
        </w:r>
      </w:hyperlink>
    </w:p>
    <w:p w14:paraId="696C6B61" w14:textId="77777777" w:rsidR="00CD0E06" w:rsidRDefault="00CD0E06" w:rsidP="00F073C0">
      <w:pPr>
        <w:pStyle w:val="FootnoteText"/>
      </w:pPr>
    </w:p>
  </w:footnote>
  <w:footnote w:id="413">
    <w:p w14:paraId="7F605EEC" w14:textId="77777777" w:rsidR="00CD0E06" w:rsidRDefault="00CD0E06" w:rsidP="00F073C0">
      <w:pPr>
        <w:pStyle w:val="FootnoteText"/>
      </w:pPr>
      <w:r>
        <w:rPr>
          <w:rStyle w:val="FootnoteReference"/>
        </w:rPr>
        <w:footnoteRef/>
      </w:r>
      <w:r>
        <w:t xml:space="preserve"> Key arbitration institutions | The Official Portal of the UAE Government. </w:t>
      </w:r>
    </w:p>
  </w:footnote>
  <w:footnote w:id="414">
    <w:p w14:paraId="2F267926" w14:textId="77777777" w:rsidR="00CD0E06" w:rsidRDefault="00CD0E06" w:rsidP="00F073C0">
      <w:pPr>
        <w:pStyle w:val="FootnoteText"/>
      </w:pPr>
      <w:r>
        <w:rPr>
          <w:rStyle w:val="FootnoteReference"/>
        </w:rPr>
        <w:footnoteRef/>
      </w:r>
      <w:r>
        <w:t xml:space="preserve"> Bakhromova, M. (2022, August 30). ISSUES OF LEGAL REGULATION OF ONLINE DISPUTES IN DIGITAL ARBITRATION. Jurisprudence, 2(4), 63–70. https://doi.org/10.51788/tsul.jurisprudence.2.4./amci6109</w:t>
      </w:r>
    </w:p>
  </w:footnote>
  <w:footnote w:id="415">
    <w:p w14:paraId="703F9EC0" w14:textId="77777777" w:rsidR="00CD0E06" w:rsidRDefault="00CD0E06"/>
    <w:p w14:paraId="7202728E" w14:textId="77777777" w:rsidR="00CD0E06" w:rsidRDefault="00CD0E06" w:rsidP="00F073C0">
      <w:pPr>
        <w:pStyle w:val="FootnoteText"/>
      </w:pPr>
    </w:p>
  </w:footnote>
  <w:footnote w:id="416">
    <w:p w14:paraId="62F1A3ED" w14:textId="77777777" w:rsidR="00CD0E06" w:rsidRDefault="00CD0E06" w:rsidP="00F073C0">
      <w:pPr>
        <w:pStyle w:val="FootnoteText"/>
      </w:pPr>
      <w:r>
        <w:rPr>
          <w:rStyle w:val="FootnoteReference"/>
        </w:rPr>
        <w:footnoteRef/>
      </w:r>
      <w:r>
        <w:t xml:space="preserve"> Sulistianingsih, D., Rante Lembang, A. A., Adhi, Y. P., &amp; Prabowo, M. S. (2023, May 4). Online dispute resolution: Does the system actually enhance the mediation framework? Cogent Social Sciences, 9(1). </w:t>
      </w:r>
      <w:hyperlink r:id="rId11" w:history="1">
        <w:r>
          <w:rPr>
            <w:rStyle w:val="Hyperlink"/>
          </w:rPr>
          <w:t>https://doi.org/10.1080/23311886.2023.2206348</w:t>
        </w:r>
      </w:hyperlink>
    </w:p>
    <w:p w14:paraId="6B2A9C21" w14:textId="77777777" w:rsidR="00CD0E06" w:rsidRDefault="00CD0E06" w:rsidP="00F073C0">
      <w:pPr>
        <w:pStyle w:val="FootnoteText"/>
      </w:pPr>
    </w:p>
  </w:footnote>
  <w:footnote w:id="417">
    <w:p w14:paraId="53BA2176" w14:textId="77777777" w:rsidR="00CD0E06" w:rsidRDefault="00CD0E06"/>
    <w:p w14:paraId="5CB48071" w14:textId="77777777" w:rsidR="00CD0E06" w:rsidRDefault="00CD0E06" w:rsidP="00F073C0">
      <w:pPr>
        <w:pStyle w:val="FootnoteText"/>
      </w:pPr>
    </w:p>
  </w:footnote>
  <w:footnote w:id="418">
    <w:p w14:paraId="13B062F8" w14:textId="77777777" w:rsidR="00CD0E06" w:rsidRDefault="00CD0E06" w:rsidP="00F073C0">
      <w:pPr>
        <w:pStyle w:val="FootnoteText"/>
      </w:pPr>
      <w:r>
        <w:rPr>
          <w:rStyle w:val="FootnoteReference"/>
        </w:rPr>
        <w:footnoteRef/>
      </w:r>
      <w:r>
        <w:t xml:space="preserve"> Key arbitration institutions | The Official Portal of the UAE Government. (2023). </w:t>
      </w:r>
    </w:p>
    <w:p w14:paraId="70D1777E" w14:textId="77777777" w:rsidR="00CD0E06" w:rsidRDefault="00CD0E06" w:rsidP="00F073C0">
      <w:pPr>
        <w:pStyle w:val="FootnoteText"/>
      </w:pPr>
    </w:p>
  </w:footnote>
  <w:footnote w:id="419">
    <w:p w14:paraId="2EE20DD7" w14:textId="77777777" w:rsidR="00CD0E06" w:rsidRDefault="00CD0E06" w:rsidP="00F073C0">
      <w:pPr>
        <w:pStyle w:val="FootnoteText"/>
      </w:pPr>
      <w:r>
        <w:rPr>
          <w:rStyle w:val="FootnoteReference"/>
        </w:rPr>
        <w:footnoteRef/>
      </w:r>
      <w:r>
        <w:t xml:space="preserve"> Bakhromova, M. (2022, August 30). ISSUES OF LEGAL REGULATION OF ONLINE DISPUTES IN DIGITAL ARBITRATION. Jurisprudence, 2(4), 63–70. </w:t>
      </w:r>
      <w:hyperlink r:id="rId12" w:history="1">
        <w:r>
          <w:rPr>
            <w:rStyle w:val="Hyperlink"/>
          </w:rPr>
          <w:t>https://doi.org/10.51788/tsul.jurisprudence.2.4./amci6109</w:t>
        </w:r>
      </w:hyperlink>
    </w:p>
    <w:p w14:paraId="3139CEB1" w14:textId="77777777" w:rsidR="00CD0E06" w:rsidRDefault="00CD0E06" w:rsidP="00F073C0">
      <w:pPr>
        <w:pStyle w:val="FootnoteText"/>
      </w:pPr>
    </w:p>
  </w:footnote>
  <w:footnote w:id="420">
    <w:p w14:paraId="11BB311F" w14:textId="77777777" w:rsidR="00CD0E06" w:rsidRDefault="00CD0E06" w:rsidP="00F073C0">
      <w:pPr>
        <w:pStyle w:val="FootnoteText"/>
      </w:pPr>
      <w:r>
        <w:rPr>
          <w:rStyle w:val="FootnoteReference"/>
        </w:rPr>
        <w:footnoteRef/>
      </w:r>
      <w:r>
        <w:t xml:space="preserve"> Key arbitration institutions | The Official Portal of the UAE Government. (2023)</w:t>
      </w:r>
    </w:p>
  </w:footnote>
  <w:footnote w:id="421">
    <w:p w14:paraId="55583D6A" w14:textId="77777777" w:rsidR="00CD0E06" w:rsidRDefault="00CD0E06" w:rsidP="00F073C0">
      <w:pPr>
        <w:pStyle w:val="FootnoteText"/>
        <w:rPr>
          <w:lang w:val="da-DK"/>
        </w:rPr>
      </w:pPr>
      <w:r>
        <w:rPr>
          <w:rStyle w:val="FootnoteReference"/>
        </w:rPr>
        <w:footnoteRef/>
      </w:r>
      <w:r>
        <w:t xml:space="preserve"> Commercial Arbitration: United Arab Emirates - Global Arbitration Review. </w:t>
      </w:r>
      <w:r>
        <w:rPr>
          <w:lang w:val="da-DK"/>
        </w:rPr>
        <w:t xml:space="preserve">(2025). </w:t>
      </w:r>
      <w:hyperlink r:id="rId13" w:history="1">
        <w:r>
          <w:rPr>
            <w:rStyle w:val="Hyperlink"/>
            <w:lang w:val="da-DK"/>
          </w:rPr>
          <w:t>https://globalarbitrationreview.com/insight/know-how/commercial-arbitration/report/united-arab-emirates</w:t>
        </w:r>
      </w:hyperlink>
    </w:p>
    <w:p w14:paraId="3538EC77" w14:textId="77777777" w:rsidR="00CD0E06" w:rsidRDefault="00CD0E06" w:rsidP="00F073C0">
      <w:pPr>
        <w:pStyle w:val="FootnoteText"/>
        <w:rPr>
          <w:lang w:val="da-DK"/>
        </w:rPr>
      </w:pPr>
    </w:p>
  </w:footnote>
  <w:footnote w:id="422">
    <w:p w14:paraId="63D46CB7" w14:textId="77777777" w:rsidR="00CD0E06" w:rsidRDefault="00CD0E06" w:rsidP="00F073C0">
      <w:pPr>
        <w:pStyle w:val="FootnoteText"/>
      </w:pPr>
      <w:r>
        <w:rPr>
          <w:rStyle w:val="FootnoteReference"/>
        </w:rPr>
        <w:footnoteRef/>
      </w:r>
      <w:r>
        <w:t xml:space="preserve"> Sulistianingsih, D., Rante Lembang, A. A., Adhi, Y. P., &amp; Prabowo, M. S. (2023, May 4). Online dispute resolution: Does the system actually enhance the mediation framework? Cogent Social Sciences, 9(1). </w:t>
      </w:r>
      <w:hyperlink r:id="rId14" w:history="1">
        <w:r>
          <w:rPr>
            <w:rStyle w:val="Hyperlink"/>
          </w:rPr>
          <w:t>https://doi.org/10.1080/23311886.2023.2206348</w:t>
        </w:r>
      </w:hyperlink>
    </w:p>
    <w:p w14:paraId="675BA05D" w14:textId="77777777" w:rsidR="00CD0E06" w:rsidRDefault="00CD0E06" w:rsidP="00F073C0">
      <w:pPr>
        <w:pStyle w:val="FootnoteText"/>
      </w:pPr>
    </w:p>
  </w:footnote>
  <w:footnote w:id="423">
    <w:p w14:paraId="4124019A" w14:textId="77777777" w:rsidR="00CD0E06" w:rsidRDefault="00CD0E06" w:rsidP="00F073C0">
      <w:pPr>
        <w:pStyle w:val="FootnoteText"/>
      </w:pPr>
      <w:r>
        <w:rPr>
          <w:rStyle w:val="FootnoteReference"/>
        </w:rPr>
        <w:footnoteRef/>
      </w:r>
      <w:r>
        <w:t xml:space="preserve"> Bakhromova, M. (2022, August 30). ISSUES OF LEGAL REGULATION OF ONLINE DISPUTES IN DIGITAL ARBITRATION. Jurisprudence, 2(4), 63–70. https://doi.org/10.51788/tsul.jurisprudence.2.4./amci6109</w:t>
      </w:r>
    </w:p>
  </w:footnote>
  <w:footnote w:id="424">
    <w:p w14:paraId="1D5E476A" w14:textId="77777777" w:rsidR="00CD0E06" w:rsidRDefault="00CD0E06" w:rsidP="00F073C0">
      <w:pPr>
        <w:pStyle w:val="FootnoteText"/>
        <w:rPr>
          <w:lang w:val="da-DK"/>
        </w:rPr>
      </w:pPr>
      <w:r>
        <w:rPr>
          <w:rStyle w:val="FootnoteReference"/>
        </w:rPr>
        <w:footnoteRef/>
      </w:r>
      <w:r>
        <w:t xml:space="preserve"> Commercial Arbitration: United Arab Emirates - Global Arbitration Review</w:t>
      </w:r>
    </w:p>
  </w:footnote>
  <w:footnote w:id="425">
    <w:p w14:paraId="44E67883" w14:textId="77777777" w:rsidR="00CD0E06" w:rsidRDefault="00CD0E06" w:rsidP="00F073C0">
      <w:pPr>
        <w:pStyle w:val="FootnoteText"/>
      </w:pPr>
      <w:r>
        <w:rPr>
          <w:rStyle w:val="FootnoteReference"/>
        </w:rPr>
        <w:footnoteRef/>
      </w:r>
      <w:r>
        <w:rPr>
          <w:lang w:val="da-DK"/>
        </w:rPr>
        <w:t xml:space="preserve"> Blanke, G., &amp; Corm-Bakhos, S. (2014, September 1). </w:t>
      </w:r>
      <w:r>
        <w:t>Recognition and Enforcement of Foreign Arbitral Awards in the UAE: Practice and Procedure. BCDR International Arbitration Review, 1(Issue 1), 3–27. https://doi.org/10.54648/bcdr2014002</w:t>
      </w:r>
    </w:p>
  </w:footnote>
  <w:footnote w:id="426">
    <w:p w14:paraId="58AA0C9C" w14:textId="77777777" w:rsidR="00CD0E06" w:rsidRDefault="00CD0E06" w:rsidP="00F073C0">
      <w:pPr>
        <w:pStyle w:val="FootnoteText"/>
      </w:pPr>
      <w:r>
        <w:rPr>
          <w:rStyle w:val="FootnoteReference"/>
        </w:rPr>
        <w:footnoteRef/>
      </w:r>
      <w:r>
        <w:t xml:space="preserve"> Sulistianingsih, D., Rante Lembang, A. A., Adhi, Y. P., &amp; Prabowo, M. S. (2023, May 4). Online dispute resolution: Does the system actually enhance the mediation framework? Cogent Social Sciences, 9(1). </w:t>
      </w:r>
      <w:hyperlink r:id="rId15" w:history="1">
        <w:r>
          <w:rPr>
            <w:rStyle w:val="Hyperlink"/>
          </w:rPr>
          <w:t>https://doi.org/10.1080/23311886.2023.2206348</w:t>
        </w:r>
      </w:hyperlink>
    </w:p>
    <w:p w14:paraId="0EB2A068" w14:textId="77777777" w:rsidR="00CD0E06" w:rsidRDefault="00CD0E06" w:rsidP="00F073C0">
      <w:pPr>
        <w:pStyle w:val="FootnoteText"/>
      </w:pPr>
    </w:p>
  </w:footnote>
  <w:footnote w:id="427">
    <w:p w14:paraId="75C06030" w14:textId="77777777" w:rsidR="00CD0E06" w:rsidRDefault="00CD0E06" w:rsidP="00F073C0">
      <w:pPr>
        <w:pStyle w:val="FootnoteText"/>
      </w:pPr>
      <w:r>
        <w:rPr>
          <w:rStyle w:val="FootnoteReference"/>
        </w:rPr>
        <w:footnoteRef/>
      </w:r>
      <w:r>
        <w:t xml:space="preserve"> Blanke, G., &amp; Corm-Bakhos, S. (2014, September 1). Recognition and Enforcement of Foreign Arbitral Awards in the UAE: Practice and Procedure. BCDR International Arbitration Review, 1(Issue 1), 3–27. https://doi.org/10.54648/bcdr2014002</w:t>
      </w:r>
    </w:p>
  </w:footnote>
  <w:footnote w:id="428">
    <w:p w14:paraId="70370A4B" w14:textId="77777777" w:rsidR="00CD0E06" w:rsidRDefault="00CD0E06" w:rsidP="00F073C0">
      <w:pPr>
        <w:pStyle w:val="FootnoteText"/>
      </w:pPr>
      <w:r>
        <w:rPr>
          <w:rStyle w:val="FootnoteReference"/>
        </w:rPr>
        <w:footnoteRef/>
      </w:r>
      <w:r>
        <w:t xml:space="preserve"> Javeed, A. (2021). Arbitration Law in the UAE: An Overview on Jurisdiction. SSRN Electronic Journal. </w:t>
      </w:r>
      <w:hyperlink r:id="rId16" w:history="1">
        <w:r>
          <w:rPr>
            <w:rStyle w:val="Hyperlink"/>
          </w:rPr>
          <w:t>https://doi.org/10.2139/ssrn.3991916</w:t>
        </w:r>
      </w:hyperlink>
    </w:p>
    <w:p w14:paraId="0A92DF01" w14:textId="77777777" w:rsidR="00CD0E06" w:rsidRDefault="00CD0E06" w:rsidP="00F073C0">
      <w:pPr>
        <w:pStyle w:val="FootnoteText"/>
      </w:pPr>
    </w:p>
  </w:footnote>
  <w:footnote w:id="429">
    <w:p w14:paraId="3F81D14D" w14:textId="77777777" w:rsidR="00CD0E06" w:rsidRDefault="00CD0E06" w:rsidP="00F073C0">
      <w:pPr>
        <w:pStyle w:val="FootnoteText"/>
      </w:pPr>
      <w:r>
        <w:rPr>
          <w:rStyle w:val="FootnoteReference"/>
        </w:rPr>
        <w:footnoteRef/>
      </w:r>
      <w:r>
        <w:t xml:space="preserve"> Sulistianingsih, D., Rante Lembang, A. A., Adhi, Y. P., &amp; Prabowo, M. S. (2023, May 4). Online dispute resolution: Does the system actually enhance the mediation framework? Cogent Social Sciences, 9(1). </w:t>
      </w:r>
      <w:hyperlink r:id="rId17" w:history="1">
        <w:r>
          <w:rPr>
            <w:rStyle w:val="Hyperlink"/>
          </w:rPr>
          <w:t>https://doi.org/10.1080/23311886.2023.2206348</w:t>
        </w:r>
      </w:hyperlink>
    </w:p>
    <w:p w14:paraId="724749B1" w14:textId="77777777" w:rsidR="00CD0E06" w:rsidRDefault="00CD0E06" w:rsidP="00F073C0">
      <w:pPr>
        <w:pStyle w:val="FootnoteText"/>
      </w:pPr>
    </w:p>
  </w:footnote>
  <w:footnote w:id="430">
    <w:p w14:paraId="33E2F985" w14:textId="77777777" w:rsidR="00CD0E06" w:rsidRDefault="00CD0E06" w:rsidP="00F073C0">
      <w:pPr>
        <w:pStyle w:val="FootnoteText"/>
      </w:pPr>
      <w:r>
        <w:rPr>
          <w:rStyle w:val="FootnoteReference"/>
        </w:rPr>
        <w:footnoteRef/>
      </w:r>
      <w:r>
        <w:t xml:space="preserve"> Emmerson, A. (2018, March 1). Commentary on the UAE Arbitration Chapter, by Gordon Blanke. Arbitration International, 34(1), 167–169. </w:t>
      </w:r>
      <w:hyperlink r:id="rId18" w:history="1">
        <w:r>
          <w:rPr>
            <w:rStyle w:val="Hyperlink"/>
          </w:rPr>
          <w:t>https://doi.org/10.1093/arbint/aiy010</w:t>
        </w:r>
      </w:hyperlink>
    </w:p>
    <w:p w14:paraId="258B44A6" w14:textId="77777777" w:rsidR="00CD0E06" w:rsidRDefault="00CD0E06" w:rsidP="00F073C0">
      <w:pPr>
        <w:pStyle w:val="FootnoteText"/>
      </w:pPr>
    </w:p>
  </w:footnote>
  <w:footnote w:id="431">
    <w:p w14:paraId="6AD56C45" w14:textId="77777777" w:rsidR="00CD0E06" w:rsidRDefault="00CD0E06" w:rsidP="00F073C0">
      <w:pPr>
        <w:pStyle w:val="FootnoteText"/>
      </w:pPr>
      <w:r>
        <w:rPr>
          <w:rStyle w:val="FootnoteReference"/>
        </w:rPr>
        <w:footnoteRef/>
      </w:r>
      <w:r>
        <w:t xml:space="preserve"> Mohtashami, R. (2008, October 1). Recent Arbitration–related Developments in the UAE. Journal of International Arbitration, 25(Issue 5), 631–639. https://doi.org/10.54648/joia2008049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556894"/>
      <w:docPartObj>
        <w:docPartGallery w:val="Page Numbers (Top of Page)"/>
        <w:docPartUnique/>
      </w:docPartObj>
    </w:sdtPr>
    <w:sdtEndPr>
      <w:rPr>
        <w:noProof/>
      </w:rPr>
    </w:sdtEndPr>
    <w:sdtContent>
      <w:p w14:paraId="27C5D69A" w14:textId="24024152" w:rsidR="00CD0E06" w:rsidRDefault="00CD0E06">
        <w:pPr>
          <w:pStyle w:val="Header"/>
          <w:jc w:val="right"/>
        </w:pPr>
        <w:r>
          <w:fldChar w:fldCharType="begin"/>
        </w:r>
        <w:r>
          <w:instrText xml:space="preserve"> PAGE   \* MERGEFORMAT </w:instrText>
        </w:r>
        <w:r>
          <w:fldChar w:fldCharType="separate"/>
        </w:r>
        <w:r w:rsidR="00CE083B">
          <w:rPr>
            <w:noProof/>
          </w:rPr>
          <w:t>viii</w:t>
        </w:r>
        <w:r>
          <w:rPr>
            <w:noProof/>
          </w:rPr>
          <w:fldChar w:fldCharType="end"/>
        </w:r>
      </w:p>
    </w:sdtContent>
  </w:sdt>
  <w:p w14:paraId="6BC69F1F" w14:textId="77777777" w:rsidR="00CD0E06" w:rsidRDefault="00CD0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5615443"/>
      <w:docPartObj>
        <w:docPartGallery w:val="Page Numbers (Top of Page)"/>
        <w:docPartUnique/>
      </w:docPartObj>
    </w:sdtPr>
    <w:sdtEndPr>
      <w:rPr>
        <w:noProof/>
      </w:rPr>
    </w:sdtEndPr>
    <w:sdtContent>
      <w:p w14:paraId="569A6DD5" w14:textId="400F36B2" w:rsidR="00CD0E06" w:rsidRDefault="00CD0E06">
        <w:pPr>
          <w:pStyle w:val="Header"/>
          <w:jc w:val="right"/>
        </w:pPr>
        <w:r>
          <w:fldChar w:fldCharType="begin"/>
        </w:r>
        <w:r>
          <w:instrText xml:space="preserve"> PAGE   \* MERGEFORMAT </w:instrText>
        </w:r>
        <w:r>
          <w:fldChar w:fldCharType="separate"/>
        </w:r>
        <w:r w:rsidR="00CE083B">
          <w:rPr>
            <w:noProof/>
          </w:rPr>
          <w:t>45</w:t>
        </w:r>
        <w:r>
          <w:rPr>
            <w:noProof/>
          </w:rPr>
          <w:fldChar w:fldCharType="end"/>
        </w:r>
      </w:p>
    </w:sdtContent>
  </w:sdt>
  <w:p w14:paraId="7D7474EB" w14:textId="77777777" w:rsidR="00CD0E06" w:rsidRDefault="00CD0E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23C6"/>
    <w:multiLevelType w:val="multilevel"/>
    <w:tmpl w:val="4C46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154D1"/>
    <w:multiLevelType w:val="multilevel"/>
    <w:tmpl w:val="0410431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72C6F"/>
    <w:multiLevelType w:val="hybridMultilevel"/>
    <w:tmpl w:val="4B068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FC60A5"/>
    <w:multiLevelType w:val="hybridMultilevel"/>
    <w:tmpl w:val="3BE2BEEC"/>
    <w:lvl w:ilvl="0" w:tplc="FB8CC9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905B44"/>
    <w:multiLevelType w:val="hybridMultilevel"/>
    <w:tmpl w:val="BD98024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5" w15:restartNumberingAfterBreak="0">
    <w:nsid w:val="0B515A41"/>
    <w:multiLevelType w:val="multilevel"/>
    <w:tmpl w:val="575E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D2C1F"/>
    <w:multiLevelType w:val="multilevel"/>
    <w:tmpl w:val="29FAA3B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E30011"/>
    <w:multiLevelType w:val="multilevel"/>
    <w:tmpl w:val="8E946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B250A0"/>
    <w:multiLevelType w:val="hybridMultilevel"/>
    <w:tmpl w:val="3CC231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49D106C"/>
    <w:multiLevelType w:val="hybridMultilevel"/>
    <w:tmpl w:val="F2F2D684"/>
    <w:lvl w:ilvl="0" w:tplc="0409000F">
      <w:start w:val="1"/>
      <w:numFmt w:val="decimal"/>
      <w:lvlText w:val="%1."/>
      <w:lvlJc w:val="left"/>
      <w:pPr>
        <w:ind w:left="720" w:hanging="360"/>
      </w:pPr>
    </w:lvl>
    <w:lvl w:ilvl="1" w:tplc="385EFAE0">
      <w:start w:val="1"/>
      <w:numFmt w:val="decimal"/>
      <w:lvlText w:val="%2-"/>
      <w:lvlJc w:val="left"/>
      <w:pPr>
        <w:ind w:left="360" w:hanging="360"/>
      </w:pPr>
      <w:rPr>
        <w:rFonts w:ascii="Times New Roman" w:eastAsiaTheme="minorHAnsi" w:hAnsi="Times New Roman"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738FA"/>
    <w:multiLevelType w:val="multilevel"/>
    <w:tmpl w:val="2AE4EA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6270B2"/>
    <w:multiLevelType w:val="multilevel"/>
    <w:tmpl w:val="FFE0C27C"/>
    <w:lvl w:ilvl="0">
      <w:start w:val="1"/>
      <w:numFmt w:val="decimal"/>
      <w:pStyle w:val="Heading1"/>
      <w:suff w:val="space"/>
      <w:lvlText w:val="Chapter %1"/>
      <w:lvlJc w:val="left"/>
      <w:pPr>
        <w:ind w:left="486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suff w:val="space"/>
      <w:lvlText w:val="%1.%2.%3"/>
      <w:lvlJc w:val="left"/>
      <w:pPr>
        <w:ind w:left="360" w:firstLine="0"/>
      </w:pPr>
      <w:rPr>
        <w:rFonts w:hint="default"/>
      </w:rPr>
    </w:lvl>
    <w:lvl w:ilvl="3">
      <w:start w:val="1"/>
      <w:numFmt w:val="decimal"/>
      <w:suff w:val="space"/>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2" w15:restartNumberingAfterBreak="0">
    <w:nsid w:val="267331AD"/>
    <w:multiLevelType w:val="multilevel"/>
    <w:tmpl w:val="5E8A54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9E4377"/>
    <w:multiLevelType w:val="hybridMultilevel"/>
    <w:tmpl w:val="EE84EEEA"/>
    <w:lvl w:ilvl="0" w:tplc="5C3CDBE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BD7A6D"/>
    <w:multiLevelType w:val="hybridMultilevel"/>
    <w:tmpl w:val="D494E5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75245E"/>
    <w:multiLevelType w:val="hybridMultilevel"/>
    <w:tmpl w:val="CF70B4AE"/>
    <w:lvl w:ilvl="0" w:tplc="D88867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4203C6"/>
    <w:multiLevelType w:val="multilevel"/>
    <w:tmpl w:val="D6DC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D807E3"/>
    <w:multiLevelType w:val="multilevel"/>
    <w:tmpl w:val="7726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7D446C"/>
    <w:multiLevelType w:val="hybridMultilevel"/>
    <w:tmpl w:val="73F02B7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B347C9"/>
    <w:multiLevelType w:val="hybridMultilevel"/>
    <w:tmpl w:val="C1DE1CDC"/>
    <w:lvl w:ilvl="0" w:tplc="1C6016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CB1C7B"/>
    <w:multiLevelType w:val="hybridMultilevel"/>
    <w:tmpl w:val="AFA861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AAD34BC"/>
    <w:multiLevelType w:val="multilevel"/>
    <w:tmpl w:val="8D9A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624B7"/>
    <w:multiLevelType w:val="multilevel"/>
    <w:tmpl w:val="57D26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063FBC"/>
    <w:multiLevelType w:val="multilevel"/>
    <w:tmpl w:val="AA76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CE1FCB"/>
    <w:multiLevelType w:val="hybridMultilevel"/>
    <w:tmpl w:val="E2A8D5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2C5309B"/>
    <w:multiLevelType w:val="multilevel"/>
    <w:tmpl w:val="F404D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2F2BD7"/>
    <w:multiLevelType w:val="multilevel"/>
    <w:tmpl w:val="3AE60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DA211C"/>
    <w:multiLevelType w:val="hybridMultilevel"/>
    <w:tmpl w:val="BE88058A"/>
    <w:lvl w:ilvl="0" w:tplc="0409000D">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8" w15:restartNumberingAfterBreak="0">
    <w:nsid w:val="4AE15A65"/>
    <w:multiLevelType w:val="multilevel"/>
    <w:tmpl w:val="51F8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5F5573"/>
    <w:multiLevelType w:val="multilevel"/>
    <w:tmpl w:val="BACC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306F61"/>
    <w:multiLevelType w:val="multilevel"/>
    <w:tmpl w:val="587CE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D87EE2"/>
    <w:multiLevelType w:val="multilevel"/>
    <w:tmpl w:val="19BA52D2"/>
    <w:lvl w:ilvl="0">
      <w:start w:val="1"/>
      <w:numFmt w:val="decimal"/>
      <w:lvlText w:val="%1."/>
      <w:lvlJc w:val="left"/>
      <w:pPr>
        <w:tabs>
          <w:tab w:val="num" w:pos="720"/>
        </w:tabs>
        <w:ind w:left="720" w:hanging="360"/>
      </w:pPr>
    </w:lvl>
    <w:lvl w:ilvl="1">
      <w:start w:val="1"/>
      <w:numFmt w:val="decimal"/>
      <w:lvlText w:val="(%2)"/>
      <w:lvlJc w:val="left"/>
      <w:pPr>
        <w:ind w:left="502"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900E92"/>
    <w:multiLevelType w:val="multilevel"/>
    <w:tmpl w:val="2FCE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DA348F"/>
    <w:multiLevelType w:val="hybridMultilevel"/>
    <w:tmpl w:val="E134134C"/>
    <w:lvl w:ilvl="0" w:tplc="F7C2942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166B39"/>
    <w:multiLevelType w:val="multilevel"/>
    <w:tmpl w:val="5994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7E5928"/>
    <w:multiLevelType w:val="hybridMultilevel"/>
    <w:tmpl w:val="40A0B6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9463D"/>
    <w:multiLevelType w:val="hybridMultilevel"/>
    <w:tmpl w:val="3892A01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2AA723C"/>
    <w:multiLevelType w:val="multilevel"/>
    <w:tmpl w:val="92567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895717"/>
    <w:multiLevelType w:val="multilevel"/>
    <w:tmpl w:val="8BD29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1A3083"/>
    <w:multiLevelType w:val="hybridMultilevel"/>
    <w:tmpl w:val="AF061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026E2E"/>
    <w:multiLevelType w:val="multilevel"/>
    <w:tmpl w:val="604A8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2609DA"/>
    <w:multiLevelType w:val="multilevel"/>
    <w:tmpl w:val="49521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8C1078"/>
    <w:multiLevelType w:val="multilevel"/>
    <w:tmpl w:val="D84EB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E5A27D1"/>
    <w:multiLevelType w:val="multilevel"/>
    <w:tmpl w:val="62CA3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A12CE6"/>
    <w:multiLevelType w:val="multilevel"/>
    <w:tmpl w:val="6602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9"/>
  </w:num>
  <w:num w:numId="3">
    <w:abstractNumId w:val="36"/>
  </w:num>
  <w:num w:numId="4">
    <w:abstractNumId w:val="18"/>
  </w:num>
  <w:num w:numId="5">
    <w:abstractNumId w:val="4"/>
  </w:num>
  <w:num w:numId="6">
    <w:abstractNumId w:val="31"/>
  </w:num>
  <w:num w:numId="7">
    <w:abstractNumId w:val="40"/>
  </w:num>
  <w:num w:numId="8">
    <w:abstractNumId w:val="19"/>
  </w:num>
  <w:num w:numId="9">
    <w:abstractNumId w:val="15"/>
  </w:num>
  <w:num w:numId="10">
    <w:abstractNumId w:val="6"/>
  </w:num>
  <w:num w:numId="11">
    <w:abstractNumId w:val="0"/>
  </w:num>
  <w:num w:numId="12">
    <w:abstractNumId w:val="5"/>
  </w:num>
  <w:num w:numId="13">
    <w:abstractNumId w:val="32"/>
  </w:num>
  <w:num w:numId="14">
    <w:abstractNumId w:val="1"/>
  </w:num>
  <w:num w:numId="15">
    <w:abstractNumId w:val="13"/>
  </w:num>
  <w:num w:numId="16">
    <w:abstractNumId w:val="38"/>
  </w:num>
  <w:num w:numId="17">
    <w:abstractNumId w:val="41"/>
  </w:num>
  <w:num w:numId="18">
    <w:abstractNumId w:val="37"/>
  </w:num>
  <w:num w:numId="19">
    <w:abstractNumId w:val="29"/>
  </w:num>
  <w:num w:numId="20">
    <w:abstractNumId w:val="30"/>
  </w:num>
  <w:num w:numId="21">
    <w:abstractNumId w:val="3"/>
  </w:num>
  <w:num w:numId="22">
    <w:abstractNumId w:val="33"/>
  </w:num>
  <w:num w:numId="23">
    <w:abstractNumId w:val="2"/>
  </w:num>
  <w:num w:numId="24">
    <w:abstractNumId w:val="23"/>
  </w:num>
  <w:num w:numId="25">
    <w:abstractNumId w:val="28"/>
  </w:num>
  <w:num w:numId="26">
    <w:abstractNumId w:val="26"/>
  </w:num>
  <w:num w:numId="27">
    <w:abstractNumId w:val="16"/>
  </w:num>
  <w:num w:numId="28">
    <w:abstractNumId w:val="22"/>
  </w:num>
  <w:num w:numId="29">
    <w:abstractNumId w:val="14"/>
  </w:num>
  <w:num w:numId="30">
    <w:abstractNumId w:val="9"/>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7"/>
  </w:num>
  <w:num w:numId="36">
    <w:abstractNumId w:val="25"/>
  </w:num>
  <w:num w:numId="37">
    <w:abstractNumId w:val="42"/>
  </w:num>
  <w:num w:numId="38">
    <w:abstractNumId w:val="11"/>
    <w:lvlOverride w:ilvl="0">
      <w:startOverride w:val="2"/>
    </w:lvlOverride>
    <w:lvlOverride w:ilvl="1">
      <w:startOverride w:val="4"/>
    </w:lvlOverride>
    <w:lvlOverride w:ilvl="2">
      <w:startOverride w:val="2"/>
    </w:lvlOverride>
  </w:num>
  <w:num w:numId="39">
    <w:abstractNumId w:val="21"/>
  </w:num>
  <w:num w:numId="40">
    <w:abstractNumId w:val="43"/>
  </w:num>
  <w:num w:numId="41">
    <w:abstractNumId w:val="44"/>
  </w:num>
  <w:num w:numId="42">
    <w:abstractNumId w:val="34"/>
  </w:num>
  <w:num w:numId="43">
    <w:abstractNumId w:val="10"/>
  </w:num>
  <w:num w:numId="44">
    <w:abstractNumId w:val="11"/>
  </w:num>
  <w:num w:numId="45">
    <w:abstractNumId w:val="11"/>
  </w:num>
  <w:num w:numId="46">
    <w:abstractNumId w:val="11"/>
  </w:num>
  <w:num w:numId="47">
    <w:abstractNumId w:val="12"/>
  </w:num>
  <w:num w:numId="48">
    <w:abstractNumId w:val="27"/>
  </w:num>
  <w:num w:numId="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FD2"/>
    <w:rsid w:val="000021CA"/>
    <w:rsid w:val="000030EC"/>
    <w:rsid w:val="00011710"/>
    <w:rsid w:val="00022F0B"/>
    <w:rsid w:val="00042EBC"/>
    <w:rsid w:val="00042F57"/>
    <w:rsid w:val="0004497C"/>
    <w:rsid w:val="0005026F"/>
    <w:rsid w:val="00055880"/>
    <w:rsid w:val="0006028E"/>
    <w:rsid w:val="00061625"/>
    <w:rsid w:val="00077CE0"/>
    <w:rsid w:val="000851F5"/>
    <w:rsid w:val="00090B0C"/>
    <w:rsid w:val="000A6FC0"/>
    <w:rsid w:val="000B42A1"/>
    <w:rsid w:val="000B782E"/>
    <w:rsid w:val="000C7268"/>
    <w:rsid w:val="000E5775"/>
    <w:rsid w:val="000F56CF"/>
    <w:rsid w:val="001108F2"/>
    <w:rsid w:val="001248B1"/>
    <w:rsid w:val="00133D04"/>
    <w:rsid w:val="00145FA6"/>
    <w:rsid w:val="00155BA1"/>
    <w:rsid w:val="00157A6B"/>
    <w:rsid w:val="001738AE"/>
    <w:rsid w:val="00176386"/>
    <w:rsid w:val="001B4889"/>
    <w:rsid w:val="001C3391"/>
    <w:rsid w:val="001D247C"/>
    <w:rsid w:val="001E2E1A"/>
    <w:rsid w:val="001F2AE0"/>
    <w:rsid w:val="001F4CE1"/>
    <w:rsid w:val="00205D4B"/>
    <w:rsid w:val="00213C10"/>
    <w:rsid w:val="00221109"/>
    <w:rsid w:val="00221B1E"/>
    <w:rsid w:val="00223311"/>
    <w:rsid w:val="002263B8"/>
    <w:rsid w:val="00243130"/>
    <w:rsid w:val="00255684"/>
    <w:rsid w:val="002776A7"/>
    <w:rsid w:val="002A0878"/>
    <w:rsid w:val="002A3430"/>
    <w:rsid w:val="002B2C6A"/>
    <w:rsid w:val="002B732E"/>
    <w:rsid w:val="002C7580"/>
    <w:rsid w:val="002D4C18"/>
    <w:rsid w:val="003104DE"/>
    <w:rsid w:val="00311168"/>
    <w:rsid w:val="0031139C"/>
    <w:rsid w:val="003272F7"/>
    <w:rsid w:val="00336BD2"/>
    <w:rsid w:val="00337EC3"/>
    <w:rsid w:val="00337FA4"/>
    <w:rsid w:val="00345D1B"/>
    <w:rsid w:val="00361068"/>
    <w:rsid w:val="003638F3"/>
    <w:rsid w:val="00365383"/>
    <w:rsid w:val="003727C3"/>
    <w:rsid w:val="00384963"/>
    <w:rsid w:val="003A1CD8"/>
    <w:rsid w:val="003C73EE"/>
    <w:rsid w:val="003D7078"/>
    <w:rsid w:val="003E0150"/>
    <w:rsid w:val="003E1FC3"/>
    <w:rsid w:val="004019DF"/>
    <w:rsid w:val="004027D7"/>
    <w:rsid w:val="00404BF0"/>
    <w:rsid w:val="00442F10"/>
    <w:rsid w:val="00445727"/>
    <w:rsid w:val="00446679"/>
    <w:rsid w:val="004529DC"/>
    <w:rsid w:val="00474177"/>
    <w:rsid w:val="004A062E"/>
    <w:rsid w:val="004A6667"/>
    <w:rsid w:val="004B7798"/>
    <w:rsid w:val="004F67B5"/>
    <w:rsid w:val="004F7C15"/>
    <w:rsid w:val="005006A7"/>
    <w:rsid w:val="005246FB"/>
    <w:rsid w:val="00542767"/>
    <w:rsid w:val="005438D5"/>
    <w:rsid w:val="005547BE"/>
    <w:rsid w:val="00554F7D"/>
    <w:rsid w:val="00557AAA"/>
    <w:rsid w:val="00577A0D"/>
    <w:rsid w:val="00586FD0"/>
    <w:rsid w:val="005A4670"/>
    <w:rsid w:val="005A6D1E"/>
    <w:rsid w:val="005C4C4E"/>
    <w:rsid w:val="005D0359"/>
    <w:rsid w:val="005D366E"/>
    <w:rsid w:val="005E0D0D"/>
    <w:rsid w:val="005F13F9"/>
    <w:rsid w:val="005F276E"/>
    <w:rsid w:val="00643E37"/>
    <w:rsid w:val="00647389"/>
    <w:rsid w:val="006523EC"/>
    <w:rsid w:val="00663759"/>
    <w:rsid w:val="00664877"/>
    <w:rsid w:val="006806B6"/>
    <w:rsid w:val="00681590"/>
    <w:rsid w:val="0068212A"/>
    <w:rsid w:val="00682DD9"/>
    <w:rsid w:val="006A1F1F"/>
    <w:rsid w:val="006A590F"/>
    <w:rsid w:val="006B3535"/>
    <w:rsid w:val="006C0CA4"/>
    <w:rsid w:val="006E182D"/>
    <w:rsid w:val="006E50DF"/>
    <w:rsid w:val="00720DED"/>
    <w:rsid w:val="00741159"/>
    <w:rsid w:val="00752CD5"/>
    <w:rsid w:val="00757BED"/>
    <w:rsid w:val="00763C90"/>
    <w:rsid w:val="0076526F"/>
    <w:rsid w:val="00777091"/>
    <w:rsid w:val="0078698C"/>
    <w:rsid w:val="00790B2A"/>
    <w:rsid w:val="00792217"/>
    <w:rsid w:val="00792DB8"/>
    <w:rsid w:val="007F1055"/>
    <w:rsid w:val="007F60AD"/>
    <w:rsid w:val="00817F41"/>
    <w:rsid w:val="008338CB"/>
    <w:rsid w:val="00841959"/>
    <w:rsid w:val="008540CA"/>
    <w:rsid w:val="00863803"/>
    <w:rsid w:val="008819FD"/>
    <w:rsid w:val="008A363A"/>
    <w:rsid w:val="008B409F"/>
    <w:rsid w:val="008C33BE"/>
    <w:rsid w:val="008E6D4A"/>
    <w:rsid w:val="008F7ECD"/>
    <w:rsid w:val="009045C1"/>
    <w:rsid w:val="0092472D"/>
    <w:rsid w:val="00926AEA"/>
    <w:rsid w:val="00926FE2"/>
    <w:rsid w:val="009578E9"/>
    <w:rsid w:val="009779AE"/>
    <w:rsid w:val="00987C1D"/>
    <w:rsid w:val="00992FBA"/>
    <w:rsid w:val="0099552A"/>
    <w:rsid w:val="009A1DAA"/>
    <w:rsid w:val="009A235B"/>
    <w:rsid w:val="009E3FCD"/>
    <w:rsid w:val="009F0DFF"/>
    <w:rsid w:val="009F5ACD"/>
    <w:rsid w:val="00A07FB5"/>
    <w:rsid w:val="00A30C17"/>
    <w:rsid w:val="00A32E7D"/>
    <w:rsid w:val="00A3634E"/>
    <w:rsid w:val="00A6779E"/>
    <w:rsid w:val="00A75019"/>
    <w:rsid w:val="00A87350"/>
    <w:rsid w:val="00A94B2B"/>
    <w:rsid w:val="00AB2246"/>
    <w:rsid w:val="00AB2DBD"/>
    <w:rsid w:val="00AB6145"/>
    <w:rsid w:val="00AD46A6"/>
    <w:rsid w:val="00AD47FD"/>
    <w:rsid w:val="00AE139B"/>
    <w:rsid w:val="00AE74BE"/>
    <w:rsid w:val="00AE7A87"/>
    <w:rsid w:val="00AF08DA"/>
    <w:rsid w:val="00AF740E"/>
    <w:rsid w:val="00B076E0"/>
    <w:rsid w:val="00B10A18"/>
    <w:rsid w:val="00B11D49"/>
    <w:rsid w:val="00B1435E"/>
    <w:rsid w:val="00B46E27"/>
    <w:rsid w:val="00B55114"/>
    <w:rsid w:val="00B7590C"/>
    <w:rsid w:val="00B86644"/>
    <w:rsid w:val="00BA0FBD"/>
    <w:rsid w:val="00BA5405"/>
    <w:rsid w:val="00BE5E48"/>
    <w:rsid w:val="00BE6FD2"/>
    <w:rsid w:val="00C01011"/>
    <w:rsid w:val="00C10CF0"/>
    <w:rsid w:val="00C21EB3"/>
    <w:rsid w:val="00C235A1"/>
    <w:rsid w:val="00C239D7"/>
    <w:rsid w:val="00C24791"/>
    <w:rsid w:val="00C251CC"/>
    <w:rsid w:val="00C2531E"/>
    <w:rsid w:val="00C503A3"/>
    <w:rsid w:val="00C55A85"/>
    <w:rsid w:val="00C614F4"/>
    <w:rsid w:val="00C64987"/>
    <w:rsid w:val="00CA2D0F"/>
    <w:rsid w:val="00CC217E"/>
    <w:rsid w:val="00CC2AA7"/>
    <w:rsid w:val="00CD0E06"/>
    <w:rsid w:val="00CD35CA"/>
    <w:rsid w:val="00CD69B7"/>
    <w:rsid w:val="00CD7913"/>
    <w:rsid w:val="00CD7B21"/>
    <w:rsid w:val="00CD7D6D"/>
    <w:rsid w:val="00CE083B"/>
    <w:rsid w:val="00D028EB"/>
    <w:rsid w:val="00D05990"/>
    <w:rsid w:val="00D10E40"/>
    <w:rsid w:val="00D16921"/>
    <w:rsid w:val="00D22844"/>
    <w:rsid w:val="00D27566"/>
    <w:rsid w:val="00D34C1C"/>
    <w:rsid w:val="00D45225"/>
    <w:rsid w:val="00D57F72"/>
    <w:rsid w:val="00D76A46"/>
    <w:rsid w:val="00D852C2"/>
    <w:rsid w:val="00D852DC"/>
    <w:rsid w:val="00DB2569"/>
    <w:rsid w:val="00DD412A"/>
    <w:rsid w:val="00DD7E23"/>
    <w:rsid w:val="00DE5A1C"/>
    <w:rsid w:val="00E07DAE"/>
    <w:rsid w:val="00E1074A"/>
    <w:rsid w:val="00E11317"/>
    <w:rsid w:val="00E1792A"/>
    <w:rsid w:val="00E31E3D"/>
    <w:rsid w:val="00E34EF4"/>
    <w:rsid w:val="00E51C9A"/>
    <w:rsid w:val="00E77165"/>
    <w:rsid w:val="00E909B1"/>
    <w:rsid w:val="00E94577"/>
    <w:rsid w:val="00E95EC8"/>
    <w:rsid w:val="00EA415D"/>
    <w:rsid w:val="00EB39D1"/>
    <w:rsid w:val="00EB514A"/>
    <w:rsid w:val="00EC31B2"/>
    <w:rsid w:val="00EC6741"/>
    <w:rsid w:val="00EE1359"/>
    <w:rsid w:val="00EF5F10"/>
    <w:rsid w:val="00F03B5A"/>
    <w:rsid w:val="00F044B5"/>
    <w:rsid w:val="00F073C0"/>
    <w:rsid w:val="00F3087D"/>
    <w:rsid w:val="00F44719"/>
    <w:rsid w:val="00F5354A"/>
    <w:rsid w:val="00F652FE"/>
    <w:rsid w:val="00FD07D2"/>
    <w:rsid w:val="00FD5232"/>
    <w:rsid w:val="00FE5517"/>
    <w:rsid w:val="00FF71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3551F"/>
  <w15:chartTrackingRefBased/>
  <w15:docId w15:val="{2A087A9A-81C2-4946-9A65-3BAE245AC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913"/>
    <w:pPr>
      <w:spacing w:before="120" w:after="120" w:line="360" w:lineRule="auto"/>
    </w:pPr>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5A4670"/>
    <w:pPr>
      <w:keepNext/>
      <w:keepLines/>
      <w:numPr>
        <w:numId w:val="1"/>
      </w:numPr>
      <w:spacing w:before="240" w:after="480"/>
      <w:ind w:left="0" w:firstLine="360"/>
      <w:jc w:val="center"/>
      <w:outlineLvl w:val="0"/>
    </w:pPr>
    <w:rPr>
      <w:rFonts w:eastAsiaTheme="majorEastAsia"/>
      <w:b/>
    </w:rPr>
  </w:style>
  <w:style w:type="paragraph" w:styleId="Heading2">
    <w:name w:val="heading 2"/>
    <w:basedOn w:val="Normal"/>
    <w:next w:val="Normal"/>
    <w:link w:val="Heading2Char"/>
    <w:autoRedefine/>
    <w:uiPriority w:val="9"/>
    <w:unhideWhenUsed/>
    <w:qFormat/>
    <w:rsid w:val="00663759"/>
    <w:pPr>
      <w:keepNext/>
      <w:keepLines/>
      <w:numPr>
        <w:ilvl w:val="1"/>
        <w:numId w:val="1"/>
      </w:numPr>
      <w:spacing w:before="360" w:after="240"/>
      <w:outlineLvl w:val="1"/>
    </w:pPr>
    <w:rPr>
      <w:rFonts w:eastAsia="Times New Roman"/>
      <w:b/>
      <w:sz w:val="26"/>
      <w:szCs w:val="26"/>
    </w:rPr>
  </w:style>
  <w:style w:type="paragraph" w:styleId="Heading3">
    <w:name w:val="heading 3"/>
    <w:basedOn w:val="Normal"/>
    <w:next w:val="Normal"/>
    <w:link w:val="Heading3Char"/>
    <w:autoRedefine/>
    <w:uiPriority w:val="9"/>
    <w:unhideWhenUsed/>
    <w:qFormat/>
    <w:rsid w:val="009F5ACD"/>
    <w:pPr>
      <w:keepNext/>
      <w:keepLines/>
      <w:spacing w:before="240" w:after="240"/>
      <w:ind w:left="720"/>
      <w:outlineLvl w:val="2"/>
    </w:pPr>
    <w:rPr>
      <w:rFonts w:eastAsia="Calibri"/>
      <w:bCs/>
    </w:rPr>
  </w:style>
  <w:style w:type="paragraph" w:styleId="Heading4">
    <w:name w:val="heading 4"/>
    <w:basedOn w:val="Normal"/>
    <w:next w:val="Normal"/>
    <w:link w:val="Heading4Char"/>
    <w:autoRedefine/>
    <w:uiPriority w:val="9"/>
    <w:unhideWhenUsed/>
    <w:qFormat/>
    <w:rsid w:val="00AF08DA"/>
    <w:pPr>
      <w:keepNext/>
      <w:keepLines/>
      <w:spacing w:before="240"/>
      <w:ind w:firstLine="720"/>
      <w:outlineLvl w:val="3"/>
    </w:pPr>
    <w:rPr>
      <w:rFonts w:asciiTheme="majorBidi" w:eastAsia="Calibri" w:hAnsiTheme="majorBidi" w:cstheme="majorBidi"/>
      <w:b/>
    </w:rPr>
  </w:style>
  <w:style w:type="paragraph" w:styleId="Heading5">
    <w:name w:val="heading 5"/>
    <w:basedOn w:val="Normal"/>
    <w:next w:val="Normal"/>
    <w:link w:val="Heading5Char"/>
    <w:uiPriority w:val="9"/>
    <w:semiHidden/>
    <w:unhideWhenUsed/>
    <w:qFormat/>
    <w:rsid w:val="00CD7913"/>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D7913"/>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D7913"/>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D791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D791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670"/>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663759"/>
    <w:rPr>
      <w:rFonts w:ascii="Times New Roman" w:eastAsia="Times New Roman" w:hAnsi="Times New Roman" w:cs="Times New Roman"/>
      <w:b/>
      <w:sz w:val="26"/>
      <w:szCs w:val="26"/>
    </w:rPr>
  </w:style>
  <w:style w:type="character" w:customStyle="1" w:styleId="Heading3Char">
    <w:name w:val="Heading 3 Char"/>
    <w:basedOn w:val="DefaultParagraphFont"/>
    <w:link w:val="Heading3"/>
    <w:uiPriority w:val="9"/>
    <w:rsid w:val="009F5ACD"/>
    <w:rPr>
      <w:rFonts w:ascii="Times New Roman" w:eastAsia="Calibri" w:hAnsi="Times New Roman" w:cs="Times New Roman"/>
      <w:bCs/>
      <w:sz w:val="24"/>
      <w:szCs w:val="24"/>
    </w:rPr>
  </w:style>
  <w:style w:type="character" w:customStyle="1" w:styleId="Heading4Char">
    <w:name w:val="Heading 4 Char"/>
    <w:basedOn w:val="DefaultParagraphFont"/>
    <w:link w:val="Heading4"/>
    <w:uiPriority w:val="9"/>
    <w:rsid w:val="00AF08DA"/>
    <w:rPr>
      <w:rFonts w:asciiTheme="majorBidi" w:eastAsia="Calibri" w:hAnsiTheme="majorBidi" w:cstheme="majorBidi"/>
      <w:b/>
      <w:sz w:val="24"/>
      <w:szCs w:val="24"/>
    </w:rPr>
  </w:style>
  <w:style w:type="character" w:customStyle="1" w:styleId="Heading5Char">
    <w:name w:val="Heading 5 Char"/>
    <w:basedOn w:val="DefaultParagraphFont"/>
    <w:link w:val="Heading5"/>
    <w:uiPriority w:val="9"/>
    <w:semiHidden/>
    <w:rsid w:val="00CD7913"/>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CD791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CD7913"/>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CD791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7913"/>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CD7913"/>
    <w:rPr>
      <w:color w:val="0000FF" w:themeColor="hyperlink"/>
      <w:u w:val="single"/>
    </w:rPr>
  </w:style>
  <w:style w:type="paragraph" w:styleId="ListParagraph">
    <w:name w:val="List Paragraph"/>
    <w:basedOn w:val="Normal"/>
    <w:uiPriority w:val="34"/>
    <w:qFormat/>
    <w:rsid w:val="00CD7913"/>
    <w:pPr>
      <w:spacing w:before="0" w:after="240" w:line="240" w:lineRule="auto"/>
      <w:ind w:left="720"/>
      <w:contextualSpacing/>
    </w:pPr>
    <w:rPr>
      <w:rFonts w:eastAsia="Times New Roman"/>
      <w:bCs/>
      <w:lang w:bidi="en-US"/>
    </w:rPr>
  </w:style>
  <w:style w:type="paragraph" w:styleId="NormalWeb">
    <w:name w:val="Normal (Web)"/>
    <w:basedOn w:val="Normal"/>
    <w:uiPriority w:val="99"/>
    <w:unhideWhenUsed/>
    <w:rsid w:val="00CD7913"/>
    <w:pPr>
      <w:spacing w:before="100" w:beforeAutospacing="1" w:after="100" w:afterAutospacing="1" w:line="240" w:lineRule="auto"/>
    </w:pPr>
    <w:rPr>
      <w:rFonts w:eastAsia="Times New Roman"/>
    </w:rPr>
  </w:style>
  <w:style w:type="paragraph" w:styleId="TOCHeading">
    <w:name w:val="TOC Heading"/>
    <w:basedOn w:val="Heading1"/>
    <w:next w:val="Normal"/>
    <w:uiPriority w:val="39"/>
    <w:unhideWhenUsed/>
    <w:qFormat/>
    <w:rsid w:val="00CD7913"/>
    <w:pPr>
      <w:numPr>
        <w:numId w:val="0"/>
      </w:numPr>
      <w:spacing w:line="259" w:lineRule="auto"/>
      <w:outlineLvl w:val="9"/>
    </w:pPr>
    <w:rPr>
      <w:rFonts w:asciiTheme="majorHAnsi" w:hAnsiTheme="majorHAnsi" w:cstheme="majorBidi"/>
      <w:b w:val="0"/>
      <w:color w:val="365F91" w:themeColor="accent1" w:themeShade="BF"/>
    </w:rPr>
  </w:style>
  <w:style w:type="paragraph" w:styleId="TOC1">
    <w:name w:val="toc 1"/>
    <w:basedOn w:val="Normal"/>
    <w:next w:val="Normal"/>
    <w:link w:val="TOC1Char"/>
    <w:autoRedefine/>
    <w:uiPriority w:val="39"/>
    <w:unhideWhenUsed/>
    <w:rsid w:val="00CD7913"/>
    <w:pPr>
      <w:tabs>
        <w:tab w:val="right" w:leader="dot" w:pos="9015"/>
      </w:tabs>
      <w:spacing w:before="200" w:after="40" w:line="240" w:lineRule="auto"/>
    </w:pPr>
    <w:rPr>
      <w:b/>
      <w:sz w:val="28"/>
    </w:rPr>
  </w:style>
  <w:style w:type="character" w:customStyle="1" w:styleId="TOC1Char">
    <w:name w:val="TOC 1 Char"/>
    <w:basedOn w:val="DefaultParagraphFont"/>
    <w:link w:val="TOC1"/>
    <w:uiPriority w:val="39"/>
    <w:rsid w:val="00CD7913"/>
    <w:rPr>
      <w:rFonts w:ascii="Times New Roman" w:hAnsi="Times New Roman" w:cs="Times New Roman"/>
      <w:b/>
      <w:sz w:val="28"/>
      <w:szCs w:val="24"/>
    </w:rPr>
  </w:style>
  <w:style w:type="paragraph" w:styleId="TOC2">
    <w:name w:val="toc 2"/>
    <w:basedOn w:val="Normal"/>
    <w:next w:val="Normal"/>
    <w:autoRedefine/>
    <w:uiPriority w:val="39"/>
    <w:unhideWhenUsed/>
    <w:rsid w:val="00CD7913"/>
    <w:pPr>
      <w:tabs>
        <w:tab w:val="right" w:leader="dot" w:pos="9015"/>
      </w:tabs>
      <w:spacing w:before="200" w:after="40" w:line="240" w:lineRule="auto"/>
      <w:ind w:left="238"/>
    </w:pPr>
  </w:style>
  <w:style w:type="paragraph" w:styleId="TOC3">
    <w:name w:val="toc 3"/>
    <w:basedOn w:val="Normal"/>
    <w:next w:val="Normal"/>
    <w:autoRedefine/>
    <w:uiPriority w:val="39"/>
    <w:unhideWhenUsed/>
    <w:rsid w:val="00CD7913"/>
    <w:pPr>
      <w:tabs>
        <w:tab w:val="right" w:leader="dot" w:pos="9015"/>
      </w:tabs>
      <w:spacing w:after="100"/>
      <w:ind w:left="480"/>
    </w:pPr>
    <w:rPr>
      <w:sz w:val="22"/>
    </w:rPr>
  </w:style>
  <w:style w:type="paragraph" w:styleId="Caption">
    <w:name w:val="caption"/>
    <w:aliases w:val="Figure caption"/>
    <w:basedOn w:val="Normal"/>
    <w:next w:val="Normal"/>
    <w:link w:val="CaptionChar"/>
    <w:autoRedefine/>
    <w:uiPriority w:val="35"/>
    <w:unhideWhenUsed/>
    <w:qFormat/>
    <w:rsid w:val="00CA2D0F"/>
    <w:pPr>
      <w:keepNext/>
      <w:keepLines/>
      <w:spacing w:before="0" w:line="240" w:lineRule="auto"/>
    </w:pPr>
    <w:rPr>
      <w:bCs/>
    </w:rPr>
  </w:style>
  <w:style w:type="character" w:customStyle="1" w:styleId="CaptionChar">
    <w:name w:val="Caption Char"/>
    <w:aliases w:val="Figure caption Char"/>
    <w:basedOn w:val="SourcecaptionChar"/>
    <w:link w:val="Caption"/>
    <w:uiPriority w:val="35"/>
    <w:rsid w:val="00CA2D0F"/>
    <w:rPr>
      <w:rFonts w:ascii="Times New Roman" w:hAnsi="Times New Roman" w:cs="Times New Roman"/>
      <w:bCs/>
      <w:i w:val="0"/>
      <w:sz w:val="24"/>
      <w:szCs w:val="24"/>
    </w:rPr>
  </w:style>
  <w:style w:type="character" w:customStyle="1" w:styleId="SourcecaptionChar">
    <w:name w:val="Source caption Char"/>
    <w:basedOn w:val="DefaultParagraphFont"/>
    <w:link w:val="Sourcecaption"/>
    <w:rsid w:val="00CD7913"/>
    <w:rPr>
      <w:rFonts w:ascii="Times New Roman" w:hAnsi="Times New Roman" w:cs="Times New Roman"/>
      <w:i/>
    </w:rPr>
  </w:style>
  <w:style w:type="paragraph" w:customStyle="1" w:styleId="Sourcecaption">
    <w:name w:val="Source caption"/>
    <w:basedOn w:val="Normal"/>
    <w:link w:val="SourcecaptionChar"/>
    <w:autoRedefine/>
    <w:qFormat/>
    <w:rsid w:val="00CD7913"/>
    <w:pPr>
      <w:spacing w:before="0" w:after="360" w:line="240" w:lineRule="auto"/>
      <w:jc w:val="center"/>
    </w:pPr>
    <w:rPr>
      <w:i/>
      <w:sz w:val="22"/>
      <w:szCs w:val="22"/>
    </w:rPr>
  </w:style>
  <w:style w:type="table" w:styleId="TableGrid">
    <w:name w:val="Table Grid"/>
    <w:basedOn w:val="TableNormal"/>
    <w:uiPriority w:val="59"/>
    <w:rsid w:val="00CD79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791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D7913"/>
    <w:rPr>
      <w:rFonts w:ascii="Times New Roman" w:hAnsi="Times New Roman" w:cs="Times New Roman"/>
      <w:sz w:val="24"/>
      <w:szCs w:val="24"/>
    </w:rPr>
  </w:style>
  <w:style w:type="paragraph" w:styleId="Footer">
    <w:name w:val="footer"/>
    <w:basedOn w:val="Normal"/>
    <w:link w:val="FooterChar"/>
    <w:uiPriority w:val="99"/>
    <w:unhideWhenUsed/>
    <w:rsid w:val="00CD791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D7913"/>
    <w:rPr>
      <w:rFonts w:ascii="Times New Roman" w:hAnsi="Times New Roman" w:cs="Times New Roman"/>
      <w:sz w:val="24"/>
      <w:szCs w:val="24"/>
    </w:rPr>
  </w:style>
  <w:style w:type="paragraph" w:styleId="TableofFigures">
    <w:name w:val="table of figures"/>
    <w:basedOn w:val="Normal"/>
    <w:next w:val="Normal"/>
    <w:autoRedefine/>
    <w:uiPriority w:val="99"/>
    <w:unhideWhenUsed/>
    <w:rsid w:val="00CD7913"/>
    <w:pPr>
      <w:spacing w:after="0" w:line="240" w:lineRule="auto"/>
      <w:jc w:val="center"/>
    </w:pPr>
  </w:style>
  <w:style w:type="paragraph" w:customStyle="1" w:styleId="References">
    <w:name w:val="References"/>
    <w:basedOn w:val="Normal"/>
    <w:link w:val="ReferencesChar"/>
    <w:qFormat/>
    <w:rsid w:val="00CD7913"/>
    <w:rPr>
      <w:b/>
      <w:sz w:val="28"/>
      <w:szCs w:val="28"/>
    </w:rPr>
  </w:style>
  <w:style w:type="character" w:customStyle="1" w:styleId="ReferencesChar">
    <w:name w:val="References Char"/>
    <w:basedOn w:val="DefaultParagraphFont"/>
    <w:link w:val="References"/>
    <w:rsid w:val="00CD7913"/>
    <w:rPr>
      <w:rFonts w:ascii="Times New Roman" w:hAnsi="Times New Roman" w:cs="Times New Roman"/>
      <w:b/>
      <w:sz w:val="28"/>
      <w:szCs w:val="28"/>
    </w:rPr>
  </w:style>
  <w:style w:type="paragraph" w:customStyle="1" w:styleId="Appendices">
    <w:name w:val="Appendices"/>
    <w:basedOn w:val="Normal"/>
    <w:link w:val="AppendicesChar"/>
    <w:autoRedefine/>
    <w:qFormat/>
    <w:rsid w:val="00CD7913"/>
    <w:rPr>
      <w:b/>
      <w:sz w:val="28"/>
      <w:szCs w:val="28"/>
    </w:rPr>
  </w:style>
  <w:style w:type="character" w:customStyle="1" w:styleId="AppendicesChar">
    <w:name w:val="Appendices Char"/>
    <w:basedOn w:val="DefaultParagraphFont"/>
    <w:link w:val="Appendices"/>
    <w:rsid w:val="00CD7913"/>
    <w:rPr>
      <w:rFonts w:ascii="Times New Roman" w:hAnsi="Times New Roman" w:cs="Times New Roman"/>
      <w:b/>
      <w:sz w:val="28"/>
      <w:szCs w:val="28"/>
    </w:rPr>
  </w:style>
  <w:style w:type="paragraph" w:customStyle="1" w:styleId="Appendix">
    <w:name w:val="Appendix"/>
    <w:basedOn w:val="TOC1"/>
    <w:link w:val="AppendixChar"/>
    <w:autoRedefine/>
    <w:qFormat/>
    <w:rsid w:val="00CD7913"/>
    <w:rPr>
      <w:sz w:val="24"/>
    </w:rPr>
  </w:style>
  <w:style w:type="character" w:customStyle="1" w:styleId="AppendixChar">
    <w:name w:val="Appendix Char"/>
    <w:basedOn w:val="TOC1Char"/>
    <w:link w:val="Appendix"/>
    <w:rsid w:val="00CD7913"/>
    <w:rPr>
      <w:rFonts w:ascii="Times New Roman" w:hAnsi="Times New Roman" w:cs="Times New Roman"/>
      <w:b/>
      <w:sz w:val="24"/>
      <w:szCs w:val="24"/>
    </w:rPr>
  </w:style>
  <w:style w:type="paragraph" w:customStyle="1" w:styleId="Tablecaption">
    <w:name w:val="Table caption"/>
    <w:basedOn w:val="Caption"/>
    <w:link w:val="TablecaptionChar"/>
    <w:autoRedefine/>
    <w:qFormat/>
    <w:rsid w:val="00CD7913"/>
    <w:pPr>
      <w:spacing w:before="240"/>
    </w:pPr>
  </w:style>
  <w:style w:type="character" w:customStyle="1" w:styleId="TablecaptionChar">
    <w:name w:val="Table caption Char"/>
    <w:basedOn w:val="CaptionChar"/>
    <w:link w:val="Tablecaption"/>
    <w:rsid w:val="00CD7913"/>
    <w:rPr>
      <w:rFonts w:ascii="Times New Roman" w:hAnsi="Times New Roman" w:cs="Times New Roman"/>
      <w:bCs/>
      <w:i w:val="0"/>
      <w:sz w:val="24"/>
      <w:szCs w:val="24"/>
    </w:rPr>
  </w:style>
  <w:style w:type="paragraph" w:customStyle="1" w:styleId="Captionfortable">
    <w:name w:val="Caption for table"/>
    <w:basedOn w:val="Caption"/>
    <w:link w:val="CaptionfortableChar"/>
    <w:autoRedefine/>
    <w:rsid w:val="00CD7913"/>
    <w:pPr>
      <w:spacing w:after="240" w:line="360" w:lineRule="auto"/>
    </w:pPr>
  </w:style>
  <w:style w:type="character" w:customStyle="1" w:styleId="CaptionfortableChar">
    <w:name w:val="Caption for table Char"/>
    <w:basedOn w:val="DefaultParagraphFont"/>
    <w:link w:val="Captionfortable"/>
    <w:rsid w:val="00CD7913"/>
    <w:rPr>
      <w:rFonts w:ascii="Times New Roman" w:hAnsi="Times New Roman" w:cs="Times New Roman"/>
      <w:bCs/>
      <w:sz w:val="24"/>
      <w:szCs w:val="24"/>
    </w:rPr>
  </w:style>
  <w:style w:type="character" w:styleId="FollowedHyperlink">
    <w:name w:val="FollowedHyperlink"/>
    <w:basedOn w:val="DefaultParagraphFont"/>
    <w:uiPriority w:val="99"/>
    <w:semiHidden/>
    <w:unhideWhenUsed/>
    <w:rsid w:val="00CD7913"/>
    <w:rPr>
      <w:color w:val="800080" w:themeColor="followedHyperlink"/>
      <w:u w:val="single"/>
    </w:rPr>
  </w:style>
  <w:style w:type="paragraph" w:customStyle="1" w:styleId="Tabletext">
    <w:name w:val="Table text"/>
    <w:basedOn w:val="Normal"/>
    <w:link w:val="TabletextChar"/>
    <w:autoRedefine/>
    <w:qFormat/>
    <w:rsid w:val="00CD7913"/>
    <w:pPr>
      <w:spacing w:line="240" w:lineRule="auto"/>
    </w:pPr>
    <w:rPr>
      <w:sz w:val="20"/>
    </w:rPr>
  </w:style>
  <w:style w:type="character" w:customStyle="1" w:styleId="TabletextChar">
    <w:name w:val="Table text Char"/>
    <w:basedOn w:val="DefaultParagraphFont"/>
    <w:link w:val="Tabletext"/>
    <w:rsid w:val="00CD7913"/>
    <w:rPr>
      <w:rFonts w:ascii="Times New Roman" w:hAnsi="Times New Roman" w:cs="Times New Roman"/>
      <w:sz w:val="20"/>
      <w:szCs w:val="24"/>
    </w:rPr>
  </w:style>
  <w:style w:type="paragraph" w:customStyle="1" w:styleId="Nameofprogramme">
    <w:name w:val="Name of programme"/>
    <w:basedOn w:val="Normal"/>
    <w:link w:val="NameofprogrammeChar"/>
    <w:autoRedefine/>
    <w:qFormat/>
    <w:rsid w:val="000021CA"/>
    <w:pPr>
      <w:jc w:val="center"/>
    </w:pPr>
    <w:rPr>
      <w:rFonts w:asciiTheme="majorBidi" w:hAnsiTheme="majorBidi" w:cstheme="majorBidi"/>
      <w:b/>
      <w:sz w:val="36"/>
      <w:szCs w:val="36"/>
      <w:lang w:val="en-GB"/>
    </w:rPr>
  </w:style>
  <w:style w:type="character" w:customStyle="1" w:styleId="NameofprogrammeChar">
    <w:name w:val="Name of programme Char"/>
    <w:basedOn w:val="DefaultParagraphFont"/>
    <w:link w:val="Nameofprogramme"/>
    <w:rsid w:val="000021CA"/>
    <w:rPr>
      <w:rFonts w:asciiTheme="majorBidi" w:hAnsiTheme="majorBidi" w:cstheme="majorBidi"/>
      <w:b/>
      <w:sz w:val="36"/>
      <w:szCs w:val="36"/>
      <w:lang w:val="en-GB"/>
    </w:rPr>
  </w:style>
  <w:style w:type="character" w:styleId="PlaceholderText">
    <w:name w:val="Placeholder Text"/>
    <w:basedOn w:val="DefaultParagraphFont"/>
    <w:uiPriority w:val="99"/>
    <w:semiHidden/>
    <w:rsid w:val="00CD7913"/>
    <w:rPr>
      <w:color w:val="808080"/>
    </w:rPr>
  </w:style>
  <w:style w:type="paragraph" w:styleId="FootnoteText">
    <w:name w:val="footnote text"/>
    <w:basedOn w:val="Normal"/>
    <w:link w:val="FootnoteTextChar"/>
    <w:uiPriority w:val="99"/>
    <w:rsid w:val="00CD7913"/>
    <w:pPr>
      <w:spacing w:before="0" w:after="0" w:line="240" w:lineRule="auto"/>
    </w:pPr>
    <w:rPr>
      <w:rFonts w:eastAsia="Times New Roman"/>
      <w:sz w:val="20"/>
      <w:szCs w:val="20"/>
      <w:lang w:val="en-GB" w:eastAsia="en-GB"/>
    </w:rPr>
  </w:style>
  <w:style w:type="character" w:customStyle="1" w:styleId="FootnoteTextChar">
    <w:name w:val="Footnote Text Char"/>
    <w:basedOn w:val="DefaultParagraphFont"/>
    <w:link w:val="FootnoteText"/>
    <w:uiPriority w:val="99"/>
    <w:rsid w:val="00CD7913"/>
    <w:rPr>
      <w:rFonts w:ascii="Times New Roman" w:eastAsia="Times New Roman" w:hAnsi="Times New Roman" w:cs="Times New Roman"/>
      <w:sz w:val="20"/>
      <w:szCs w:val="20"/>
      <w:lang w:val="en-GB" w:eastAsia="en-GB"/>
    </w:rPr>
  </w:style>
  <w:style w:type="character" w:styleId="FootnoteReference">
    <w:name w:val="footnote reference"/>
    <w:uiPriority w:val="99"/>
    <w:semiHidden/>
    <w:rsid w:val="00CD7913"/>
    <w:rPr>
      <w:vertAlign w:val="superscript"/>
    </w:rPr>
  </w:style>
  <w:style w:type="character" w:styleId="CommentReference">
    <w:name w:val="annotation reference"/>
    <w:basedOn w:val="DefaultParagraphFont"/>
    <w:uiPriority w:val="99"/>
    <w:semiHidden/>
    <w:unhideWhenUsed/>
    <w:rsid w:val="00CD7913"/>
    <w:rPr>
      <w:sz w:val="16"/>
      <w:szCs w:val="16"/>
    </w:rPr>
  </w:style>
  <w:style w:type="paragraph" w:styleId="CommentText">
    <w:name w:val="annotation text"/>
    <w:basedOn w:val="Normal"/>
    <w:link w:val="CommentTextChar"/>
    <w:uiPriority w:val="99"/>
    <w:unhideWhenUsed/>
    <w:rsid w:val="00CD7913"/>
    <w:pPr>
      <w:spacing w:before="0" w:after="160" w:line="240" w:lineRule="auto"/>
    </w:pPr>
    <w:rPr>
      <w:rFonts w:asciiTheme="majorBidi" w:hAnsiTheme="majorBidi" w:cstheme="minorBidi"/>
      <w:sz w:val="20"/>
      <w:szCs w:val="20"/>
    </w:rPr>
  </w:style>
  <w:style w:type="character" w:customStyle="1" w:styleId="CommentTextChar">
    <w:name w:val="Comment Text Char"/>
    <w:basedOn w:val="DefaultParagraphFont"/>
    <w:link w:val="CommentText"/>
    <w:uiPriority w:val="99"/>
    <w:rsid w:val="00CD7913"/>
    <w:rPr>
      <w:rFonts w:asciiTheme="majorBidi" w:hAnsiTheme="majorBidi"/>
      <w:sz w:val="20"/>
      <w:szCs w:val="20"/>
    </w:rPr>
  </w:style>
  <w:style w:type="paragraph" w:styleId="BalloonText">
    <w:name w:val="Balloon Text"/>
    <w:basedOn w:val="Normal"/>
    <w:link w:val="BalloonTextChar"/>
    <w:uiPriority w:val="99"/>
    <w:semiHidden/>
    <w:unhideWhenUsed/>
    <w:rsid w:val="00CD791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91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D7913"/>
    <w:rPr>
      <w:b/>
      <w:bCs/>
    </w:rPr>
  </w:style>
  <w:style w:type="character" w:customStyle="1" w:styleId="CommentSubjectChar">
    <w:name w:val="Comment Subject Char"/>
    <w:basedOn w:val="CommentTextChar"/>
    <w:link w:val="CommentSubject"/>
    <w:uiPriority w:val="99"/>
    <w:semiHidden/>
    <w:rsid w:val="00CD7913"/>
    <w:rPr>
      <w:rFonts w:asciiTheme="majorBidi" w:hAnsiTheme="majorBidi"/>
      <w:b/>
      <w:bCs/>
      <w:sz w:val="20"/>
      <w:szCs w:val="20"/>
    </w:rPr>
  </w:style>
  <w:style w:type="character" w:styleId="Strong">
    <w:name w:val="Strong"/>
    <w:basedOn w:val="DefaultParagraphFont"/>
    <w:uiPriority w:val="22"/>
    <w:qFormat/>
    <w:rsid w:val="00CD7913"/>
    <w:rPr>
      <w:b/>
      <w:bCs/>
    </w:rPr>
  </w:style>
  <w:style w:type="table" w:customStyle="1" w:styleId="TableGrid0">
    <w:name w:val="TableGrid"/>
    <w:rsid w:val="00CD7913"/>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CD7913"/>
    <w:pPr>
      <w:spacing w:after="0" w:line="240" w:lineRule="auto"/>
    </w:pPr>
    <w:rPr>
      <w:rFonts w:eastAsia="Times New Roman"/>
    </w:r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CD79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D7913"/>
    <w:rPr>
      <w:rFonts w:ascii="Courier New" w:eastAsia="Times New Roman" w:hAnsi="Courier New" w:cs="Courier New"/>
      <w:sz w:val="20"/>
      <w:szCs w:val="20"/>
    </w:rPr>
  </w:style>
  <w:style w:type="character" w:customStyle="1" w:styleId="y2iqfc">
    <w:name w:val="y2iqfc"/>
    <w:basedOn w:val="DefaultParagraphFont"/>
    <w:rsid w:val="00CD7913"/>
  </w:style>
  <w:style w:type="paragraph" w:styleId="Bibliography">
    <w:name w:val="Bibliography"/>
    <w:basedOn w:val="Normal"/>
    <w:next w:val="Normal"/>
    <w:uiPriority w:val="37"/>
    <w:unhideWhenUsed/>
    <w:rsid w:val="00CD7913"/>
    <w:pPr>
      <w:spacing w:before="0" w:after="40"/>
      <w:jc w:val="both"/>
    </w:pPr>
    <w:rPr>
      <w:rFonts w:asciiTheme="majorBidi" w:hAnsiTheme="majorBidi" w:cstheme="minorBidi"/>
      <w:szCs w:val="22"/>
    </w:rPr>
  </w:style>
  <w:style w:type="paragraph" w:customStyle="1" w:styleId="heading10">
    <w:name w:val="heading1"/>
    <w:basedOn w:val="Normal"/>
    <w:next w:val="Normal"/>
    <w:qFormat/>
    <w:rsid w:val="00CD7913"/>
    <w:pPr>
      <w:keepNext/>
      <w:keepLines/>
      <w:tabs>
        <w:tab w:val="num" w:pos="567"/>
      </w:tabs>
      <w:suppressAutoHyphens/>
      <w:overflowPunct w:val="0"/>
      <w:autoSpaceDE w:val="0"/>
      <w:autoSpaceDN w:val="0"/>
      <w:adjustRightInd w:val="0"/>
      <w:spacing w:before="360" w:after="240" w:line="300" w:lineRule="atLeast"/>
      <w:ind w:left="567" w:hanging="567"/>
      <w:outlineLvl w:val="0"/>
    </w:pPr>
    <w:rPr>
      <w:rFonts w:eastAsia="Times New Roman"/>
      <w:b/>
      <w:szCs w:val="20"/>
    </w:rPr>
  </w:style>
  <w:style w:type="paragraph" w:customStyle="1" w:styleId="heading20">
    <w:name w:val="heading2"/>
    <w:basedOn w:val="Normal"/>
    <w:next w:val="Normal"/>
    <w:qFormat/>
    <w:rsid w:val="00CD7913"/>
    <w:pPr>
      <w:keepNext/>
      <w:keepLines/>
      <w:suppressAutoHyphens/>
      <w:overflowPunct w:val="0"/>
      <w:autoSpaceDE w:val="0"/>
      <w:autoSpaceDN w:val="0"/>
      <w:adjustRightInd w:val="0"/>
      <w:spacing w:before="360" w:after="160" w:line="240" w:lineRule="atLeast"/>
      <w:outlineLvl w:val="1"/>
    </w:pPr>
    <w:rPr>
      <w:rFonts w:eastAsia="Times New Roman"/>
      <w:b/>
      <w:sz w:val="20"/>
      <w:szCs w:val="20"/>
    </w:rPr>
  </w:style>
  <w:style w:type="paragraph" w:styleId="Title">
    <w:name w:val="Title"/>
    <w:basedOn w:val="Normal"/>
    <w:next w:val="Normal"/>
    <w:link w:val="TitleChar"/>
    <w:uiPriority w:val="10"/>
    <w:qFormat/>
    <w:rsid w:val="00CD7913"/>
    <w:pPr>
      <w:spacing w:before="0" w:after="0" w:line="240" w:lineRule="auto"/>
      <w:contextualSpacing/>
      <w:jc w:val="both"/>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CD7913"/>
    <w:rPr>
      <w:rFonts w:asciiTheme="majorHAnsi" w:eastAsiaTheme="majorEastAsia" w:hAnsiTheme="majorHAnsi" w:cstheme="majorBidi"/>
      <w:spacing w:val="-10"/>
      <w:kern w:val="28"/>
      <w:sz w:val="56"/>
      <w:szCs w:val="56"/>
      <w:lang w:val="en-GB"/>
    </w:rPr>
  </w:style>
  <w:style w:type="table" w:styleId="GridTable5Dark-Accent3">
    <w:name w:val="Grid Table 5 Dark Accent 3"/>
    <w:basedOn w:val="TableNormal"/>
    <w:uiPriority w:val="50"/>
    <w:rsid w:val="00CD79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character" w:customStyle="1" w:styleId="UnresolvedMention1">
    <w:name w:val="Unresolved Mention1"/>
    <w:basedOn w:val="DefaultParagraphFont"/>
    <w:uiPriority w:val="99"/>
    <w:semiHidden/>
    <w:unhideWhenUsed/>
    <w:rsid w:val="00CD7913"/>
    <w:rPr>
      <w:color w:val="605E5C"/>
      <w:shd w:val="clear" w:color="auto" w:fill="E1DFDD"/>
    </w:rPr>
  </w:style>
  <w:style w:type="paragraph" w:styleId="TOC4">
    <w:name w:val="toc 4"/>
    <w:basedOn w:val="Normal"/>
    <w:next w:val="Normal"/>
    <w:autoRedefine/>
    <w:uiPriority w:val="39"/>
    <w:unhideWhenUsed/>
    <w:rsid w:val="00CD7913"/>
    <w:pPr>
      <w:bidi/>
      <w:spacing w:before="0" w:after="100" w:line="278" w:lineRule="auto"/>
      <w:ind w:left="720"/>
    </w:pPr>
    <w:rPr>
      <w:rFonts w:asciiTheme="majorBidi" w:eastAsiaTheme="minorEastAsia" w:hAnsiTheme="majorBidi" w:cstheme="minorBidi"/>
      <w:kern w:val="2"/>
      <w14:ligatures w14:val="standardContextual"/>
    </w:rPr>
  </w:style>
  <w:style w:type="paragraph" w:styleId="TOC5">
    <w:name w:val="toc 5"/>
    <w:basedOn w:val="Normal"/>
    <w:next w:val="Normal"/>
    <w:autoRedefine/>
    <w:uiPriority w:val="39"/>
    <w:unhideWhenUsed/>
    <w:rsid w:val="00CD7913"/>
    <w:pPr>
      <w:bidi/>
      <w:spacing w:before="0" w:after="100" w:line="278" w:lineRule="auto"/>
      <w:ind w:left="960"/>
    </w:pPr>
    <w:rPr>
      <w:rFonts w:asciiTheme="majorBidi" w:eastAsiaTheme="minorEastAsia" w:hAnsiTheme="majorBidi" w:cstheme="minorBidi"/>
      <w:kern w:val="2"/>
      <w14:ligatures w14:val="standardContextual"/>
    </w:rPr>
  </w:style>
  <w:style w:type="paragraph" w:styleId="TOC6">
    <w:name w:val="toc 6"/>
    <w:basedOn w:val="Normal"/>
    <w:next w:val="Normal"/>
    <w:autoRedefine/>
    <w:uiPriority w:val="39"/>
    <w:unhideWhenUsed/>
    <w:rsid w:val="00CD7913"/>
    <w:pPr>
      <w:bidi/>
      <w:spacing w:before="0" w:after="100" w:line="278" w:lineRule="auto"/>
      <w:ind w:left="1200"/>
    </w:pPr>
    <w:rPr>
      <w:rFonts w:asciiTheme="majorBidi" w:eastAsiaTheme="minorEastAsia" w:hAnsiTheme="majorBidi" w:cstheme="minorBidi"/>
      <w:kern w:val="2"/>
      <w14:ligatures w14:val="standardContextual"/>
    </w:rPr>
  </w:style>
  <w:style w:type="paragraph" w:styleId="TOC7">
    <w:name w:val="toc 7"/>
    <w:basedOn w:val="Normal"/>
    <w:next w:val="Normal"/>
    <w:autoRedefine/>
    <w:uiPriority w:val="39"/>
    <w:unhideWhenUsed/>
    <w:rsid w:val="00CD7913"/>
    <w:pPr>
      <w:bidi/>
      <w:spacing w:before="0" w:after="100" w:line="278" w:lineRule="auto"/>
      <w:ind w:left="1440"/>
    </w:pPr>
    <w:rPr>
      <w:rFonts w:asciiTheme="majorBidi" w:eastAsiaTheme="minorEastAsia" w:hAnsiTheme="majorBidi" w:cstheme="minorBidi"/>
      <w:kern w:val="2"/>
      <w14:ligatures w14:val="standardContextual"/>
    </w:rPr>
  </w:style>
  <w:style w:type="paragraph" w:styleId="TOC8">
    <w:name w:val="toc 8"/>
    <w:basedOn w:val="Normal"/>
    <w:next w:val="Normal"/>
    <w:autoRedefine/>
    <w:uiPriority w:val="39"/>
    <w:unhideWhenUsed/>
    <w:rsid w:val="00CD7913"/>
    <w:pPr>
      <w:bidi/>
      <w:spacing w:before="0" w:after="100" w:line="278" w:lineRule="auto"/>
      <w:ind w:left="1680"/>
    </w:pPr>
    <w:rPr>
      <w:rFonts w:asciiTheme="majorBidi" w:eastAsiaTheme="minorEastAsia" w:hAnsiTheme="majorBidi" w:cstheme="minorBidi"/>
      <w:kern w:val="2"/>
      <w14:ligatures w14:val="standardContextual"/>
    </w:rPr>
  </w:style>
  <w:style w:type="paragraph" w:styleId="TOC9">
    <w:name w:val="toc 9"/>
    <w:basedOn w:val="Normal"/>
    <w:next w:val="Normal"/>
    <w:autoRedefine/>
    <w:uiPriority w:val="39"/>
    <w:unhideWhenUsed/>
    <w:rsid w:val="00CD7913"/>
    <w:pPr>
      <w:bidi/>
      <w:spacing w:before="0" w:after="100" w:line="278" w:lineRule="auto"/>
      <w:ind w:left="1920"/>
    </w:pPr>
    <w:rPr>
      <w:rFonts w:asciiTheme="majorBidi" w:eastAsiaTheme="minorEastAsia" w:hAnsiTheme="majorBidi" w:cstheme="minorBidi"/>
      <w:kern w:val="2"/>
      <w14:ligatures w14:val="standardContextual"/>
    </w:rPr>
  </w:style>
  <w:style w:type="paragraph" w:styleId="Revision">
    <w:name w:val="Revision"/>
    <w:hidden/>
    <w:uiPriority w:val="99"/>
    <w:semiHidden/>
    <w:rsid w:val="00CD7913"/>
    <w:pPr>
      <w:spacing w:after="0" w:line="240" w:lineRule="auto"/>
    </w:pPr>
  </w:style>
  <w:style w:type="paragraph" w:styleId="EndnoteText">
    <w:name w:val="endnote text"/>
    <w:basedOn w:val="Normal"/>
    <w:link w:val="EndnoteTextChar"/>
    <w:uiPriority w:val="99"/>
    <w:semiHidden/>
    <w:unhideWhenUsed/>
    <w:rsid w:val="00CD7913"/>
    <w:pPr>
      <w:spacing w:before="0" w:after="0" w:line="240" w:lineRule="auto"/>
    </w:pPr>
    <w:rPr>
      <w:rFonts w:asciiTheme="majorBidi" w:hAnsiTheme="majorBidi" w:cstheme="minorBidi"/>
      <w:sz w:val="20"/>
      <w:szCs w:val="20"/>
    </w:rPr>
  </w:style>
  <w:style w:type="character" w:customStyle="1" w:styleId="EndnoteTextChar">
    <w:name w:val="Endnote Text Char"/>
    <w:basedOn w:val="DefaultParagraphFont"/>
    <w:link w:val="EndnoteText"/>
    <w:uiPriority w:val="99"/>
    <w:semiHidden/>
    <w:rsid w:val="00CD7913"/>
    <w:rPr>
      <w:rFonts w:asciiTheme="majorBidi" w:hAnsiTheme="majorBidi"/>
      <w:sz w:val="20"/>
      <w:szCs w:val="20"/>
    </w:rPr>
  </w:style>
  <w:style w:type="character" w:styleId="EndnoteReference">
    <w:name w:val="endnote reference"/>
    <w:basedOn w:val="DefaultParagraphFont"/>
    <w:uiPriority w:val="99"/>
    <w:semiHidden/>
    <w:unhideWhenUsed/>
    <w:rsid w:val="00CD7913"/>
    <w:rPr>
      <w:vertAlign w:val="superscript"/>
    </w:rPr>
  </w:style>
  <w:style w:type="character" w:customStyle="1" w:styleId="UnresolvedMention2">
    <w:name w:val="Unresolved Mention2"/>
    <w:basedOn w:val="DefaultParagraphFont"/>
    <w:uiPriority w:val="99"/>
    <w:semiHidden/>
    <w:unhideWhenUsed/>
    <w:rsid w:val="00CD7913"/>
    <w:rPr>
      <w:color w:val="605E5C"/>
      <w:shd w:val="clear" w:color="auto" w:fill="E1DFDD"/>
    </w:rPr>
  </w:style>
  <w:style w:type="character" w:styleId="Emphasis">
    <w:name w:val="Emphasis"/>
    <w:basedOn w:val="DefaultParagraphFont"/>
    <w:uiPriority w:val="20"/>
    <w:qFormat/>
    <w:rsid w:val="00CD7913"/>
    <w:rPr>
      <w:i/>
      <w:iCs/>
    </w:rPr>
  </w:style>
  <w:style w:type="character" w:customStyle="1" w:styleId="UnresolvedMention3">
    <w:name w:val="Unresolved Mention3"/>
    <w:basedOn w:val="DefaultParagraphFont"/>
    <w:uiPriority w:val="99"/>
    <w:semiHidden/>
    <w:unhideWhenUsed/>
    <w:rsid w:val="00CD7913"/>
    <w:rPr>
      <w:color w:val="605E5C"/>
      <w:shd w:val="clear" w:color="auto" w:fill="E1DFDD"/>
    </w:rPr>
  </w:style>
  <w:style w:type="character" w:customStyle="1" w:styleId="UnresolvedMention4">
    <w:name w:val="Unresolved Mention4"/>
    <w:basedOn w:val="DefaultParagraphFont"/>
    <w:uiPriority w:val="99"/>
    <w:semiHidden/>
    <w:unhideWhenUsed/>
    <w:rsid w:val="00CD7913"/>
    <w:rPr>
      <w:color w:val="605E5C"/>
      <w:shd w:val="clear" w:color="auto" w:fill="E1DFDD"/>
    </w:rPr>
  </w:style>
  <w:style w:type="table" w:styleId="GridTable5Dark-Accent4">
    <w:name w:val="Grid Table 5 Dark Accent 4"/>
    <w:basedOn w:val="TableNormal"/>
    <w:uiPriority w:val="50"/>
    <w:rsid w:val="00CD79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1">
    <w:name w:val="Grid Table 5 Dark Accent 1"/>
    <w:basedOn w:val="TableNormal"/>
    <w:uiPriority w:val="50"/>
    <w:rsid w:val="00CD79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
    <w:name w:val="Grid Table 5 Dark"/>
    <w:basedOn w:val="TableNormal"/>
    <w:uiPriority w:val="50"/>
    <w:rsid w:val="00CD79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UnresolvedMention5">
    <w:name w:val="Unresolved Mention5"/>
    <w:basedOn w:val="DefaultParagraphFont"/>
    <w:uiPriority w:val="99"/>
    <w:semiHidden/>
    <w:unhideWhenUsed/>
    <w:rsid w:val="00CD7913"/>
    <w:rPr>
      <w:color w:val="605E5C"/>
      <w:shd w:val="clear" w:color="auto" w:fill="E1DFDD"/>
    </w:rPr>
  </w:style>
  <w:style w:type="character" w:customStyle="1" w:styleId="whitespace-normal">
    <w:name w:val="whitespace-normal"/>
    <w:basedOn w:val="DefaultParagraphFont"/>
    <w:rsid w:val="00F073C0"/>
  </w:style>
  <w:style w:type="character" w:customStyle="1" w:styleId="UnresolvedMention6">
    <w:name w:val="Unresolved Mention6"/>
    <w:basedOn w:val="DefaultParagraphFont"/>
    <w:uiPriority w:val="99"/>
    <w:semiHidden/>
    <w:unhideWhenUsed/>
    <w:rsid w:val="00F073C0"/>
    <w:rPr>
      <w:color w:val="605E5C"/>
      <w:shd w:val="clear" w:color="auto" w:fill="E1DFDD"/>
    </w:rPr>
  </w:style>
  <w:style w:type="character" w:customStyle="1" w:styleId="UnresolvedMention7">
    <w:name w:val="Unresolved Mention7"/>
    <w:basedOn w:val="DefaultParagraphFont"/>
    <w:uiPriority w:val="99"/>
    <w:semiHidden/>
    <w:unhideWhenUsed/>
    <w:rsid w:val="008819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3923">
      <w:bodyDiv w:val="1"/>
      <w:marLeft w:val="0"/>
      <w:marRight w:val="0"/>
      <w:marTop w:val="0"/>
      <w:marBottom w:val="0"/>
      <w:divBdr>
        <w:top w:val="none" w:sz="0" w:space="0" w:color="auto"/>
        <w:left w:val="none" w:sz="0" w:space="0" w:color="auto"/>
        <w:bottom w:val="none" w:sz="0" w:space="0" w:color="auto"/>
        <w:right w:val="none" w:sz="0" w:space="0" w:color="auto"/>
      </w:divBdr>
      <w:divsChild>
        <w:div w:id="97912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173226">
      <w:bodyDiv w:val="1"/>
      <w:marLeft w:val="0"/>
      <w:marRight w:val="0"/>
      <w:marTop w:val="0"/>
      <w:marBottom w:val="0"/>
      <w:divBdr>
        <w:top w:val="none" w:sz="0" w:space="0" w:color="auto"/>
        <w:left w:val="none" w:sz="0" w:space="0" w:color="auto"/>
        <w:bottom w:val="none" w:sz="0" w:space="0" w:color="auto"/>
        <w:right w:val="none" w:sz="0" w:space="0" w:color="auto"/>
      </w:divBdr>
    </w:div>
    <w:div w:id="130832940">
      <w:bodyDiv w:val="1"/>
      <w:marLeft w:val="0"/>
      <w:marRight w:val="0"/>
      <w:marTop w:val="0"/>
      <w:marBottom w:val="0"/>
      <w:divBdr>
        <w:top w:val="none" w:sz="0" w:space="0" w:color="auto"/>
        <w:left w:val="none" w:sz="0" w:space="0" w:color="auto"/>
        <w:bottom w:val="none" w:sz="0" w:space="0" w:color="auto"/>
        <w:right w:val="none" w:sz="0" w:space="0" w:color="auto"/>
      </w:divBdr>
      <w:divsChild>
        <w:div w:id="1714839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544096">
      <w:bodyDiv w:val="1"/>
      <w:marLeft w:val="0"/>
      <w:marRight w:val="0"/>
      <w:marTop w:val="0"/>
      <w:marBottom w:val="0"/>
      <w:divBdr>
        <w:top w:val="none" w:sz="0" w:space="0" w:color="auto"/>
        <w:left w:val="none" w:sz="0" w:space="0" w:color="auto"/>
        <w:bottom w:val="none" w:sz="0" w:space="0" w:color="auto"/>
        <w:right w:val="none" w:sz="0" w:space="0" w:color="auto"/>
      </w:divBdr>
      <w:divsChild>
        <w:div w:id="418216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544660">
      <w:bodyDiv w:val="1"/>
      <w:marLeft w:val="0"/>
      <w:marRight w:val="0"/>
      <w:marTop w:val="0"/>
      <w:marBottom w:val="0"/>
      <w:divBdr>
        <w:top w:val="none" w:sz="0" w:space="0" w:color="auto"/>
        <w:left w:val="none" w:sz="0" w:space="0" w:color="auto"/>
        <w:bottom w:val="none" w:sz="0" w:space="0" w:color="auto"/>
        <w:right w:val="none" w:sz="0" w:space="0" w:color="auto"/>
      </w:divBdr>
      <w:divsChild>
        <w:div w:id="2090882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8289383">
      <w:bodyDiv w:val="1"/>
      <w:marLeft w:val="0"/>
      <w:marRight w:val="0"/>
      <w:marTop w:val="0"/>
      <w:marBottom w:val="0"/>
      <w:divBdr>
        <w:top w:val="none" w:sz="0" w:space="0" w:color="auto"/>
        <w:left w:val="none" w:sz="0" w:space="0" w:color="auto"/>
        <w:bottom w:val="none" w:sz="0" w:space="0" w:color="auto"/>
        <w:right w:val="none" w:sz="0" w:space="0" w:color="auto"/>
      </w:divBdr>
      <w:divsChild>
        <w:div w:id="701978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2592607">
      <w:bodyDiv w:val="1"/>
      <w:marLeft w:val="0"/>
      <w:marRight w:val="0"/>
      <w:marTop w:val="0"/>
      <w:marBottom w:val="0"/>
      <w:divBdr>
        <w:top w:val="none" w:sz="0" w:space="0" w:color="auto"/>
        <w:left w:val="none" w:sz="0" w:space="0" w:color="auto"/>
        <w:bottom w:val="none" w:sz="0" w:space="0" w:color="auto"/>
        <w:right w:val="none" w:sz="0" w:space="0" w:color="auto"/>
      </w:divBdr>
    </w:div>
    <w:div w:id="283737036">
      <w:bodyDiv w:val="1"/>
      <w:marLeft w:val="0"/>
      <w:marRight w:val="0"/>
      <w:marTop w:val="0"/>
      <w:marBottom w:val="0"/>
      <w:divBdr>
        <w:top w:val="none" w:sz="0" w:space="0" w:color="auto"/>
        <w:left w:val="none" w:sz="0" w:space="0" w:color="auto"/>
        <w:bottom w:val="none" w:sz="0" w:space="0" w:color="auto"/>
        <w:right w:val="none" w:sz="0" w:space="0" w:color="auto"/>
      </w:divBdr>
      <w:divsChild>
        <w:div w:id="1342970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2101217">
      <w:bodyDiv w:val="1"/>
      <w:marLeft w:val="0"/>
      <w:marRight w:val="0"/>
      <w:marTop w:val="0"/>
      <w:marBottom w:val="0"/>
      <w:divBdr>
        <w:top w:val="none" w:sz="0" w:space="0" w:color="auto"/>
        <w:left w:val="none" w:sz="0" w:space="0" w:color="auto"/>
        <w:bottom w:val="none" w:sz="0" w:space="0" w:color="auto"/>
        <w:right w:val="none" w:sz="0" w:space="0" w:color="auto"/>
      </w:divBdr>
      <w:divsChild>
        <w:div w:id="21433092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196831">
      <w:bodyDiv w:val="1"/>
      <w:marLeft w:val="0"/>
      <w:marRight w:val="0"/>
      <w:marTop w:val="0"/>
      <w:marBottom w:val="0"/>
      <w:divBdr>
        <w:top w:val="none" w:sz="0" w:space="0" w:color="auto"/>
        <w:left w:val="none" w:sz="0" w:space="0" w:color="auto"/>
        <w:bottom w:val="none" w:sz="0" w:space="0" w:color="auto"/>
        <w:right w:val="none" w:sz="0" w:space="0" w:color="auto"/>
      </w:divBdr>
      <w:divsChild>
        <w:div w:id="1854683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865506">
      <w:bodyDiv w:val="1"/>
      <w:marLeft w:val="0"/>
      <w:marRight w:val="0"/>
      <w:marTop w:val="0"/>
      <w:marBottom w:val="0"/>
      <w:divBdr>
        <w:top w:val="none" w:sz="0" w:space="0" w:color="auto"/>
        <w:left w:val="none" w:sz="0" w:space="0" w:color="auto"/>
        <w:bottom w:val="none" w:sz="0" w:space="0" w:color="auto"/>
        <w:right w:val="none" w:sz="0" w:space="0" w:color="auto"/>
      </w:divBdr>
    </w:div>
    <w:div w:id="449399967">
      <w:bodyDiv w:val="1"/>
      <w:marLeft w:val="0"/>
      <w:marRight w:val="0"/>
      <w:marTop w:val="0"/>
      <w:marBottom w:val="0"/>
      <w:divBdr>
        <w:top w:val="none" w:sz="0" w:space="0" w:color="auto"/>
        <w:left w:val="none" w:sz="0" w:space="0" w:color="auto"/>
        <w:bottom w:val="none" w:sz="0" w:space="0" w:color="auto"/>
        <w:right w:val="none" w:sz="0" w:space="0" w:color="auto"/>
      </w:divBdr>
      <w:divsChild>
        <w:div w:id="2001883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0904780">
      <w:bodyDiv w:val="1"/>
      <w:marLeft w:val="0"/>
      <w:marRight w:val="0"/>
      <w:marTop w:val="0"/>
      <w:marBottom w:val="0"/>
      <w:divBdr>
        <w:top w:val="none" w:sz="0" w:space="0" w:color="auto"/>
        <w:left w:val="none" w:sz="0" w:space="0" w:color="auto"/>
        <w:bottom w:val="none" w:sz="0" w:space="0" w:color="auto"/>
        <w:right w:val="none" w:sz="0" w:space="0" w:color="auto"/>
      </w:divBdr>
      <w:divsChild>
        <w:div w:id="609510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2019456">
      <w:bodyDiv w:val="1"/>
      <w:marLeft w:val="0"/>
      <w:marRight w:val="0"/>
      <w:marTop w:val="0"/>
      <w:marBottom w:val="0"/>
      <w:divBdr>
        <w:top w:val="none" w:sz="0" w:space="0" w:color="auto"/>
        <w:left w:val="none" w:sz="0" w:space="0" w:color="auto"/>
        <w:bottom w:val="none" w:sz="0" w:space="0" w:color="auto"/>
        <w:right w:val="none" w:sz="0" w:space="0" w:color="auto"/>
      </w:divBdr>
      <w:divsChild>
        <w:div w:id="1643119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9277030">
      <w:bodyDiv w:val="1"/>
      <w:marLeft w:val="0"/>
      <w:marRight w:val="0"/>
      <w:marTop w:val="0"/>
      <w:marBottom w:val="0"/>
      <w:divBdr>
        <w:top w:val="none" w:sz="0" w:space="0" w:color="auto"/>
        <w:left w:val="none" w:sz="0" w:space="0" w:color="auto"/>
        <w:bottom w:val="none" w:sz="0" w:space="0" w:color="auto"/>
        <w:right w:val="none" w:sz="0" w:space="0" w:color="auto"/>
      </w:divBdr>
    </w:div>
    <w:div w:id="530462540">
      <w:bodyDiv w:val="1"/>
      <w:marLeft w:val="0"/>
      <w:marRight w:val="0"/>
      <w:marTop w:val="0"/>
      <w:marBottom w:val="0"/>
      <w:divBdr>
        <w:top w:val="none" w:sz="0" w:space="0" w:color="auto"/>
        <w:left w:val="none" w:sz="0" w:space="0" w:color="auto"/>
        <w:bottom w:val="none" w:sz="0" w:space="0" w:color="auto"/>
        <w:right w:val="none" w:sz="0" w:space="0" w:color="auto"/>
      </w:divBdr>
    </w:div>
    <w:div w:id="579560539">
      <w:bodyDiv w:val="1"/>
      <w:marLeft w:val="0"/>
      <w:marRight w:val="0"/>
      <w:marTop w:val="0"/>
      <w:marBottom w:val="0"/>
      <w:divBdr>
        <w:top w:val="none" w:sz="0" w:space="0" w:color="auto"/>
        <w:left w:val="none" w:sz="0" w:space="0" w:color="auto"/>
        <w:bottom w:val="none" w:sz="0" w:space="0" w:color="auto"/>
        <w:right w:val="none" w:sz="0" w:space="0" w:color="auto"/>
      </w:divBdr>
      <w:divsChild>
        <w:div w:id="877623940">
          <w:marLeft w:val="0"/>
          <w:marRight w:val="0"/>
          <w:marTop w:val="0"/>
          <w:marBottom w:val="0"/>
          <w:divBdr>
            <w:top w:val="none" w:sz="0" w:space="0" w:color="auto"/>
            <w:left w:val="none" w:sz="0" w:space="0" w:color="auto"/>
            <w:bottom w:val="none" w:sz="0" w:space="0" w:color="auto"/>
            <w:right w:val="none" w:sz="0" w:space="0" w:color="auto"/>
          </w:divBdr>
          <w:divsChild>
            <w:div w:id="491412885">
              <w:marLeft w:val="0"/>
              <w:marRight w:val="0"/>
              <w:marTop w:val="0"/>
              <w:marBottom w:val="0"/>
              <w:divBdr>
                <w:top w:val="none" w:sz="0" w:space="0" w:color="auto"/>
                <w:left w:val="none" w:sz="0" w:space="0" w:color="auto"/>
                <w:bottom w:val="none" w:sz="0" w:space="0" w:color="auto"/>
                <w:right w:val="none" w:sz="0" w:space="0" w:color="auto"/>
              </w:divBdr>
              <w:divsChild>
                <w:div w:id="264771733">
                  <w:marLeft w:val="0"/>
                  <w:marRight w:val="0"/>
                  <w:marTop w:val="0"/>
                  <w:marBottom w:val="0"/>
                  <w:divBdr>
                    <w:top w:val="none" w:sz="0" w:space="0" w:color="auto"/>
                    <w:left w:val="none" w:sz="0" w:space="0" w:color="auto"/>
                    <w:bottom w:val="none" w:sz="0" w:space="0" w:color="auto"/>
                    <w:right w:val="none" w:sz="0" w:space="0" w:color="auto"/>
                  </w:divBdr>
                  <w:divsChild>
                    <w:div w:id="1075591823">
                      <w:marLeft w:val="0"/>
                      <w:marRight w:val="0"/>
                      <w:marTop w:val="0"/>
                      <w:marBottom w:val="0"/>
                      <w:divBdr>
                        <w:top w:val="none" w:sz="0" w:space="0" w:color="auto"/>
                        <w:left w:val="none" w:sz="0" w:space="0" w:color="auto"/>
                        <w:bottom w:val="none" w:sz="0" w:space="0" w:color="auto"/>
                        <w:right w:val="none" w:sz="0" w:space="0" w:color="auto"/>
                      </w:divBdr>
                      <w:divsChild>
                        <w:div w:id="282080198">
                          <w:marLeft w:val="0"/>
                          <w:marRight w:val="0"/>
                          <w:marTop w:val="0"/>
                          <w:marBottom w:val="0"/>
                          <w:divBdr>
                            <w:top w:val="none" w:sz="0" w:space="0" w:color="auto"/>
                            <w:left w:val="none" w:sz="0" w:space="0" w:color="auto"/>
                            <w:bottom w:val="none" w:sz="0" w:space="0" w:color="auto"/>
                            <w:right w:val="none" w:sz="0" w:space="0" w:color="auto"/>
                          </w:divBdr>
                          <w:divsChild>
                            <w:div w:id="386611311">
                              <w:marLeft w:val="0"/>
                              <w:marRight w:val="0"/>
                              <w:marTop w:val="0"/>
                              <w:marBottom w:val="0"/>
                              <w:divBdr>
                                <w:top w:val="none" w:sz="0" w:space="0" w:color="auto"/>
                                <w:left w:val="none" w:sz="0" w:space="0" w:color="auto"/>
                                <w:bottom w:val="none" w:sz="0" w:space="0" w:color="auto"/>
                                <w:right w:val="none" w:sz="0" w:space="0" w:color="auto"/>
                              </w:divBdr>
                              <w:divsChild>
                                <w:div w:id="551622935">
                                  <w:marLeft w:val="0"/>
                                  <w:marRight w:val="0"/>
                                  <w:marTop w:val="0"/>
                                  <w:marBottom w:val="0"/>
                                  <w:divBdr>
                                    <w:top w:val="none" w:sz="0" w:space="0" w:color="auto"/>
                                    <w:left w:val="none" w:sz="0" w:space="0" w:color="auto"/>
                                    <w:bottom w:val="none" w:sz="0" w:space="0" w:color="auto"/>
                                    <w:right w:val="none" w:sz="0" w:space="0" w:color="auto"/>
                                  </w:divBdr>
                                  <w:divsChild>
                                    <w:div w:id="132608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039261">
      <w:bodyDiv w:val="1"/>
      <w:marLeft w:val="0"/>
      <w:marRight w:val="0"/>
      <w:marTop w:val="0"/>
      <w:marBottom w:val="0"/>
      <w:divBdr>
        <w:top w:val="none" w:sz="0" w:space="0" w:color="auto"/>
        <w:left w:val="none" w:sz="0" w:space="0" w:color="auto"/>
        <w:bottom w:val="none" w:sz="0" w:space="0" w:color="auto"/>
        <w:right w:val="none" w:sz="0" w:space="0" w:color="auto"/>
      </w:divBdr>
    </w:div>
    <w:div w:id="696002447">
      <w:bodyDiv w:val="1"/>
      <w:marLeft w:val="0"/>
      <w:marRight w:val="0"/>
      <w:marTop w:val="0"/>
      <w:marBottom w:val="0"/>
      <w:divBdr>
        <w:top w:val="none" w:sz="0" w:space="0" w:color="auto"/>
        <w:left w:val="none" w:sz="0" w:space="0" w:color="auto"/>
        <w:bottom w:val="none" w:sz="0" w:space="0" w:color="auto"/>
        <w:right w:val="none" w:sz="0" w:space="0" w:color="auto"/>
      </w:divBdr>
      <w:divsChild>
        <w:div w:id="385295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8701237">
      <w:bodyDiv w:val="1"/>
      <w:marLeft w:val="0"/>
      <w:marRight w:val="0"/>
      <w:marTop w:val="0"/>
      <w:marBottom w:val="0"/>
      <w:divBdr>
        <w:top w:val="none" w:sz="0" w:space="0" w:color="auto"/>
        <w:left w:val="none" w:sz="0" w:space="0" w:color="auto"/>
        <w:bottom w:val="none" w:sz="0" w:space="0" w:color="auto"/>
        <w:right w:val="none" w:sz="0" w:space="0" w:color="auto"/>
      </w:divBdr>
      <w:divsChild>
        <w:div w:id="1713460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3500772">
      <w:bodyDiv w:val="1"/>
      <w:marLeft w:val="0"/>
      <w:marRight w:val="0"/>
      <w:marTop w:val="0"/>
      <w:marBottom w:val="0"/>
      <w:divBdr>
        <w:top w:val="none" w:sz="0" w:space="0" w:color="auto"/>
        <w:left w:val="none" w:sz="0" w:space="0" w:color="auto"/>
        <w:bottom w:val="none" w:sz="0" w:space="0" w:color="auto"/>
        <w:right w:val="none" w:sz="0" w:space="0" w:color="auto"/>
      </w:divBdr>
      <w:divsChild>
        <w:div w:id="251553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3679319">
      <w:bodyDiv w:val="1"/>
      <w:marLeft w:val="0"/>
      <w:marRight w:val="0"/>
      <w:marTop w:val="0"/>
      <w:marBottom w:val="0"/>
      <w:divBdr>
        <w:top w:val="none" w:sz="0" w:space="0" w:color="auto"/>
        <w:left w:val="none" w:sz="0" w:space="0" w:color="auto"/>
        <w:bottom w:val="none" w:sz="0" w:space="0" w:color="auto"/>
        <w:right w:val="none" w:sz="0" w:space="0" w:color="auto"/>
      </w:divBdr>
    </w:div>
    <w:div w:id="758717364">
      <w:bodyDiv w:val="1"/>
      <w:marLeft w:val="0"/>
      <w:marRight w:val="0"/>
      <w:marTop w:val="0"/>
      <w:marBottom w:val="0"/>
      <w:divBdr>
        <w:top w:val="none" w:sz="0" w:space="0" w:color="auto"/>
        <w:left w:val="none" w:sz="0" w:space="0" w:color="auto"/>
        <w:bottom w:val="none" w:sz="0" w:space="0" w:color="auto"/>
        <w:right w:val="none" w:sz="0" w:space="0" w:color="auto"/>
      </w:divBdr>
    </w:div>
    <w:div w:id="832721671">
      <w:bodyDiv w:val="1"/>
      <w:marLeft w:val="0"/>
      <w:marRight w:val="0"/>
      <w:marTop w:val="0"/>
      <w:marBottom w:val="0"/>
      <w:divBdr>
        <w:top w:val="none" w:sz="0" w:space="0" w:color="auto"/>
        <w:left w:val="none" w:sz="0" w:space="0" w:color="auto"/>
        <w:bottom w:val="none" w:sz="0" w:space="0" w:color="auto"/>
        <w:right w:val="none" w:sz="0" w:space="0" w:color="auto"/>
      </w:divBdr>
      <w:divsChild>
        <w:div w:id="382214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638900">
      <w:bodyDiv w:val="1"/>
      <w:marLeft w:val="0"/>
      <w:marRight w:val="0"/>
      <w:marTop w:val="0"/>
      <w:marBottom w:val="0"/>
      <w:divBdr>
        <w:top w:val="none" w:sz="0" w:space="0" w:color="auto"/>
        <w:left w:val="none" w:sz="0" w:space="0" w:color="auto"/>
        <w:bottom w:val="none" w:sz="0" w:space="0" w:color="auto"/>
        <w:right w:val="none" w:sz="0" w:space="0" w:color="auto"/>
      </w:divBdr>
      <w:divsChild>
        <w:div w:id="1593857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9631483">
      <w:bodyDiv w:val="1"/>
      <w:marLeft w:val="0"/>
      <w:marRight w:val="0"/>
      <w:marTop w:val="0"/>
      <w:marBottom w:val="0"/>
      <w:divBdr>
        <w:top w:val="none" w:sz="0" w:space="0" w:color="auto"/>
        <w:left w:val="none" w:sz="0" w:space="0" w:color="auto"/>
        <w:bottom w:val="none" w:sz="0" w:space="0" w:color="auto"/>
        <w:right w:val="none" w:sz="0" w:space="0" w:color="auto"/>
      </w:divBdr>
      <w:divsChild>
        <w:div w:id="1820224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7498144">
      <w:bodyDiv w:val="1"/>
      <w:marLeft w:val="0"/>
      <w:marRight w:val="0"/>
      <w:marTop w:val="0"/>
      <w:marBottom w:val="0"/>
      <w:divBdr>
        <w:top w:val="none" w:sz="0" w:space="0" w:color="auto"/>
        <w:left w:val="none" w:sz="0" w:space="0" w:color="auto"/>
        <w:bottom w:val="none" w:sz="0" w:space="0" w:color="auto"/>
        <w:right w:val="none" w:sz="0" w:space="0" w:color="auto"/>
      </w:divBdr>
      <w:divsChild>
        <w:div w:id="2007047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0920255">
      <w:bodyDiv w:val="1"/>
      <w:marLeft w:val="0"/>
      <w:marRight w:val="0"/>
      <w:marTop w:val="0"/>
      <w:marBottom w:val="0"/>
      <w:divBdr>
        <w:top w:val="none" w:sz="0" w:space="0" w:color="auto"/>
        <w:left w:val="none" w:sz="0" w:space="0" w:color="auto"/>
        <w:bottom w:val="none" w:sz="0" w:space="0" w:color="auto"/>
        <w:right w:val="none" w:sz="0" w:space="0" w:color="auto"/>
      </w:divBdr>
      <w:divsChild>
        <w:div w:id="842284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6644712">
      <w:bodyDiv w:val="1"/>
      <w:marLeft w:val="0"/>
      <w:marRight w:val="0"/>
      <w:marTop w:val="0"/>
      <w:marBottom w:val="0"/>
      <w:divBdr>
        <w:top w:val="none" w:sz="0" w:space="0" w:color="auto"/>
        <w:left w:val="none" w:sz="0" w:space="0" w:color="auto"/>
        <w:bottom w:val="none" w:sz="0" w:space="0" w:color="auto"/>
        <w:right w:val="none" w:sz="0" w:space="0" w:color="auto"/>
      </w:divBdr>
      <w:divsChild>
        <w:div w:id="1011300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5764488">
      <w:bodyDiv w:val="1"/>
      <w:marLeft w:val="0"/>
      <w:marRight w:val="0"/>
      <w:marTop w:val="0"/>
      <w:marBottom w:val="0"/>
      <w:divBdr>
        <w:top w:val="none" w:sz="0" w:space="0" w:color="auto"/>
        <w:left w:val="none" w:sz="0" w:space="0" w:color="auto"/>
        <w:bottom w:val="none" w:sz="0" w:space="0" w:color="auto"/>
        <w:right w:val="none" w:sz="0" w:space="0" w:color="auto"/>
      </w:divBdr>
      <w:divsChild>
        <w:div w:id="825129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3625468">
      <w:bodyDiv w:val="1"/>
      <w:marLeft w:val="0"/>
      <w:marRight w:val="0"/>
      <w:marTop w:val="0"/>
      <w:marBottom w:val="0"/>
      <w:divBdr>
        <w:top w:val="none" w:sz="0" w:space="0" w:color="auto"/>
        <w:left w:val="none" w:sz="0" w:space="0" w:color="auto"/>
        <w:bottom w:val="none" w:sz="0" w:space="0" w:color="auto"/>
        <w:right w:val="none" w:sz="0" w:space="0" w:color="auto"/>
      </w:divBdr>
      <w:divsChild>
        <w:div w:id="1964653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5466212">
      <w:bodyDiv w:val="1"/>
      <w:marLeft w:val="0"/>
      <w:marRight w:val="0"/>
      <w:marTop w:val="0"/>
      <w:marBottom w:val="0"/>
      <w:divBdr>
        <w:top w:val="none" w:sz="0" w:space="0" w:color="auto"/>
        <w:left w:val="none" w:sz="0" w:space="0" w:color="auto"/>
        <w:bottom w:val="none" w:sz="0" w:space="0" w:color="auto"/>
        <w:right w:val="none" w:sz="0" w:space="0" w:color="auto"/>
      </w:divBdr>
    </w:div>
    <w:div w:id="1178272836">
      <w:bodyDiv w:val="1"/>
      <w:marLeft w:val="0"/>
      <w:marRight w:val="0"/>
      <w:marTop w:val="0"/>
      <w:marBottom w:val="0"/>
      <w:divBdr>
        <w:top w:val="none" w:sz="0" w:space="0" w:color="auto"/>
        <w:left w:val="none" w:sz="0" w:space="0" w:color="auto"/>
        <w:bottom w:val="none" w:sz="0" w:space="0" w:color="auto"/>
        <w:right w:val="none" w:sz="0" w:space="0" w:color="auto"/>
      </w:divBdr>
      <w:divsChild>
        <w:div w:id="1376268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3519555">
      <w:bodyDiv w:val="1"/>
      <w:marLeft w:val="0"/>
      <w:marRight w:val="0"/>
      <w:marTop w:val="0"/>
      <w:marBottom w:val="0"/>
      <w:divBdr>
        <w:top w:val="none" w:sz="0" w:space="0" w:color="auto"/>
        <w:left w:val="none" w:sz="0" w:space="0" w:color="auto"/>
        <w:bottom w:val="none" w:sz="0" w:space="0" w:color="auto"/>
        <w:right w:val="none" w:sz="0" w:space="0" w:color="auto"/>
      </w:divBdr>
    </w:div>
    <w:div w:id="1208952072">
      <w:bodyDiv w:val="1"/>
      <w:marLeft w:val="0"/>
      <w:marRight w:val="0"/>
      <w:marTop w:val="0"/>
      <w:marBottom w:val="0"/>
      <w:divBdr>
        <w:top w:val="none" w:sz="0" w:space="0" w:color="auto"/>
        <w:left w:val="none" w:sz="0" w:space="0" w:color="auto"/>
        <w:bottom w:val="none" w:sz="0" w:space="0" w:color="auto"/>
        <w:right w:val="none" w:sz="0" w:space="0" w:color="auto"/>
      </w:divBdr>
      <w:divsChild>
        <w:div w:id="348066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9094162">
      <w:bodyDiv w:val="1"/>
      <w:marLeft w:val="0"/>
      <w:marRight w:val="0"/>
      <w:marTop w:val="0"/>
      <w:marBottom w:val="0"/>
      <w:divBdr>
        <w:top w:val="none" w:sz="0" w:space="0" w:color="auto"/>
        <w:left w:val="none" w:sz="0" w:space="0" w:color="auto"/>
        <w:bottom w:val="none" w:sz="0" w:space="0" w:color="auto"/>
        <w:right w:val="none" w:sz="0" w:space="0" w:color="auto"/>
      </w:divBdr>
      <w:divsChild>
        <w:div w:id="1963345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6015991">
      <w:bodyDiv w:val="1"/>
      <w:marLeft w:val="0"/>
      <w:marRight w:val="0"/>
      <w:marTop w:val="0"/>
      <w:marBottom w:val="0"/>
      <w:divBdr>
        <w:top w:val="none" w:sz="0" w:space="0" w:color="auto"/>
        <w:left w:val="none" w:sz="0" w:space="0" w:color="auto"/>
        <w:bottom w:val="none" w:sz="0" w:space="0" w:color="auto"/>
        <w:right w:val="none" w:sz="0" w:space="0" w:color="auto"/>
      </w:divBdr>
      <w:divsChild>
        <w:div w:id="1529443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367106">
      <w:bodyDiv w:val="1"/>
      <w:marLeft w:val="0"/>
      <w:marRight w:val="0"/>
      <w:marTop w:val="0"/>
      <w:marBottom w:val="0"/>
      <w:divBdr>
        <w:top w:val="none" w:sz="0" w:space="0" w:color="auto"/>
        <w:left w:val="none" w:sz="0" w:space="0" w:color="auto"/>
        <w:bottom w:val="none" w:sz="0" w:space="0" w:color="auto"/>
        <w:right w:val="none" w:sz="0" w:space="0" w:color="auto"/>
      </w:divBdr>
    </w:div>
    <w:div w:id="1327510604">
      <w:bodyDiv w:val="1"/>
      <w:marLeft w:val="0"/>
      <w:marRight w:val="0"/>
      <w:marTop w:val="0"/>
      <w:marBottom w:val="0"/>
      <w:divBdr>
        <w:top w:val="none" w:sz="0" w:space="0" w:color="auto"/>
        <w:left w:val="none" w:sz="0" w:space="0" w:color="auto"/>
        <w:bottom w:val="none" w:sz="0" w:space="0" w:color="auto"/>
        <w:right w:val="none" w:sz="0" w:space="0" w:color="auto"/>
      </w:divBdr>
      <w:divsChild>
        <w:div w:id="2108652925">
          <w:marLeft w:val="0"/>
          <w:marRight w:val="0"/>
          <w:marTop w:val="0"/>
          <w:marBottom w:val="0"/>
          <w:divBdr>
            <w:top w:val="none" w:sz="0" w:space="0" w:color="auto"/>
            <w:left w:val="none" w:sz="0" w:space="0" w:color="auto"/>
            <w:bottom w:val="none" w:sz="0" w:space="0" w:color="auto"/>
            <w:right w:val="none" w:sz="0" w:space="0" w:color="auto"/>
          </w:divBdr>
          <w:divsChild>
            <w:div w:id="689530507">
              <w:marLeft w:val="0"/>
              <w:marRight w:val="0"/>
              <w:marTop w:val="0"/>
              <w:marBottom w:val="0"/>
              <w:divBdr>
                <w:top w:val="none" w:sz="0" w:space="0" w:color="auto"/>
                <w:left w:val="none" w:sz="0" w:space="0" w:color="auto"/>
                <w:bottom w:val="none" w:sz="0" w:space="0" w:color="auto"/>
                <w:right w:val="none" w:sz="0" w:space="0" w:color="auto"/>
              </w:divBdr>
              <w:divsChild>
                <w:div w:id="1246113306">
                  <w:marLeft w:val="0"/>
                  <w:marRight w:val="0"/>
                  <w:marTop w:val="0"/>
                  <w:marBottom w:val="0"/>
                  <w:divBdr>
                    <w:top w:val="none" w:sz="0" w:space="0" w:color="auto"/>
                    <w:left w:val="none" w:sz="0" w:space="0" w:color="auto"/>
                    <w:bottom w:val="none" w:sz="0" w:space="0" w:color="auto"/>
                    <w:right w:val="none" w:sz="0" w:space="0" w:color="auto"/>
                  </w:divBdr>
                  <w:divsChild>
                    <w:div w:id="506987212">
                      <w:marLeft w:val="0"/>
                      <w:marRight w:val="0"/>
                      <w:marTop w:val="0"/>
                      <w:marBottom w:val="0"/>
                      <w:divBdr>
                        <w:top w:val="none" w:sz="0" w:space="0" w:color="auto"/>
                        <w:left w:val="none" w:sz="0" w:space="0" w:color="auto"/>
                        <w:bottom w:val="none" w:sz="0" w:space="0" w:color="auto"/>
                        <w:right w:val="none" w:sz="0" w:space="0" w:color="auto"/>
                      </w:divBdr>
                      <w:divsChild>
                        <w:div w:id="750927467">
                          <w:marLeft w:val="0"/>
                          <w:marRight w:val="0"/>
                          <w:marTop w:val="0"/>
                          <w:marBottom w:val="0"/>
                          <w:divBdr>
                            <w:top w:val="none" w:sz="0" w:space="0" w:color="auto"/>
                            <w:left w:val="none" w:sz="0" w:space="0" w:color="auto"/>
                            <w:bottom w:val="none" w:sz="0" w:space="0" w:color="auto"/>
                            <w:right w:val="none" w:sz="0" w:space="0" w:color="auto"/>
                          </w:divBdr>
                          <w:divsChild>
                            <w:div w:id="1823306651">
                              <w:marLeft w:val="0"/>
                              <w:marRight w:val="0"/>
                              <w:marTop w:val="0"/>
                              <w:marBottom w:val="0"/>
                              <w:divBdr>
                                <w:top w:val="none" w:sz="0" w:space="0" w:color="auto"/>
                                <w:left w:val="none" w:sz="0" w:space="0" w:color="auto"/>
                                <w:bottom w:val="none" w:sz="0" w:space="0" w:color="auto"/>
                                <w:right w:val="none" w:sz="0" w:space="0" w:color="auto"/>
                              </w:divBdr>
                              <w:divsChild>
                                <w:div w:id="1564566291">
                                  <w:marLeft w:val="0"/>
                                  <w:marRight w:val="0"/>
                                  <w:marTop w:val="0"/>
                                  <w:marBottom w:val="0"/>
                                  <w:divBdr>
                                    <w:top w:val="none" w:sz="0" w:space="0" w:color="auto"/>
                                    <w:left w:val="none" w:sz="0" w:space="0" w:color="auto"/>
                                    <w:bottom w:val="none" w:sz="0" w:space="0" w:color="auto"/>
                                    <w:right w:val="none" w:sz="0" w:space="0" w:color="auto"/>
                                  </w:divBdr>
                                  <w:divsChild>
                                    <w:div w:id="5987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512728">
      <w:bodyDiv w:val="1"/>
      <w:marLeft w:val="0"/>
      <w:marRight w:val="0"/>
      <w:marTop w:val="0"/>
      <w:marBottom w:val="0"/>
      <w:divBdr>
        <w:top w:val="none" w:sz="0" w:space="0" w:color="auto"/>
        <w:left w:val="none" w:sz="0" w:space="0" w:color="auto"/>
        <w:bottom w:val="none" w:sz="0" w:space="0" w:color="auto"/>
        <w:right w:val="none" w:sz="0" w:space="0" w:color="auto"/>
      </w:divBdr>
      <w:divsChild>
        <w:div w:id="446433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554992">
      <w:bodyDiv w:val="1"/>
      <w:marLeft w:val="0"/>
      <w:marRight w:val="0"/>
      <w:marTop w:val="0"/>
      <w:marBottom w:val="0"/>
      <w:divBdr>
        <w:top w:val="none" w:sz="0" w:space="0" w:color="auto"/>
        <w:left w:val="none" w:sz="0" w:space="0" w:color="auto"/>
        <w:bottom w:val="none" w:sz="0" w:space="0" w:color="auto"/>
        <w:right w:val="none" w:sz="0" w:space="0" w:color="auto"/>
      </w:divBdr>
      <w:divsChild>
        <w:div w:id="428620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204707">
      <w:bodyDiv w:val="1"/>
      <w:marLeft w:val="0"/>
      <w:marRight w:val="0"/>
      <w:marTop w:val="0"/>
      <w:marBottom w:val="0"/>
      <w:divBdr>
        <w:top w:val="none" w:sz="0" w:space="0" w:color="auto"/>
        <w:left w:val="none" w:sz="0" w:space="0" w:color="auto"/>
        <w:bottom w:val="none" w:sz="0" w:space="0" w:color="auto"/>
        <w:right w:val="none" w:sz="0" w:space="0" w:color="auto"/>
      </w:divBdr>
      <w:divsChild>
        <w:div w:id="205403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126812">
      <w:bodyDiv w:val="1"/>
      <w:marLeft w:val="0"/>
      <w:marRight w:val="0"/>
      <w:marTop w:val="0"/>
      <w:marBottom w:val="0"/>
      <w:divBdr>
        <w:top w:val="none" w:sz="0" w:space="0" w:color="auto"/>
        <w:left w:val="none" w:sz="0" w:space="0" w:color="auto"/>
        <w:bottom w:val="none" w:sz="0" w:space="0" w:color="auto"/>
        <w:right w:val="none" w:sz="0" w:space="0" w:color="auto"/>
      </w:divBdr>
      <w:divsChild>
        <w:div w:id="488788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1240557">
      <w:bodyDiv w:val="1"/>
      <w:marLeft w:val="0"/>
      <w:marRight w:val="0"/>
      <w:marTop w:val="0"/>
      <w:marBottom w:val="0"/>
      <w:divBdr>
        <w:top w:val="none" w:sz="0" w:space="0" w:color="auto"/>
        <w:left w:val="none" w:sz="0" w:space="0" w:color="auto"/>
        <w:bottom w:val="none" w:sz="0" w:space="0" w:color="auto"/>
        <w:right w:val="none" w:sz="0" w:space="0" w:color="auto"/>
      </w:divBdr>
      <w:divsChild>
        <w:div w:id="1353991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3449300">
      <w:bodyDiv w:val="1"/>
      <w:marLeft w:val="0"/>
      <w:marRight w:val="0"/>
      <w:marTop w:val="0"/>
      <w:marBottom w:val="0"/>
      <w:divBdr>
        <w:top w:val="none" w:sz="0" w:space="0" w:color="auto"/>
        <w:left w:val="none" w:sz="0" w:space="0" w:color="auto"/>
        <w:bottom w:val="none" w:sz="0" w:space="0" w:color="auto"/>
        <w:right w:val="none" w:sz="0" w:space="0" w:color="auto"/>
      </w:divBdr>
      <w:divsChild>
        <w:div w:id="787890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5944204">
      <w:bodyDiv w:val="1"/>
      <w:marLeft w:val="0"/>
      <w:marRight w:val="0"/>
      <w:marTop w:val="0"/>
      <w:marBottom w:val="0"/>
      <w:divBdr>
        <w:top w:val="none" w:sz="0" w:space="0" w:color="auto"/>
        <w:left w:val="none" w:sz="0" w:space="0" w:color="auto"/>
        <w:bottom w:val="none" w:sz="0" w:space="0" w:color="auto"/>
        <w:right w:val="none" w:sz="0" w:space="0" w:color="auto"/>
      </w:divBdr>
      <w:divsChild>
        <w:div w:id="746221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677045">
      <w:bodyDiv w:val="1"/>
      <w:marLeft w:val="0"/>
      <w:marRight w:val="0"/>
      <w:marTop w:val="0"/>
      <w:marBottom w:val="0"/>
      <w:divBdr>
        <w:top w:val="none" w:sz="0" w:space="0" w:color="auto"/>
        <w:left w:val="none" w:sz="0" w:space="0" w:color="auto"/>
        <w:bottom w:val="none" w:sz="0" w:space="0" w:color="auto"/>
        <w:right w:val="none" w:sz="0" w:space="0" w:color="auto"/>
      </w:divBdr>
      <w:divsChild>
        <w:div w:id="1969512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6113185">
      <w:bodyDiv w:val="1"/>
      <w:marLeft w:val="0"/>
      <w:marRight w:val="0"/>
      <w:marTop w:val="0"/>
      <w:marBottom w:val="0"/>
      <w:divBdr>
        <w:top w:val="none" w:sz="0" w:space="0" w:color="auto"/>
        <w:left w:val="none" w:sz="0" w:space="0" w:color="auto"/>
        <w:bottom w:val="none" w:sz="0" w:space="0" w:color="auto"/>
        <w:right w:val="none" w:sz="0" w:space="0" w:color="auto"/>
      </w:divBdr>
      <w:divsChild>
        <w:div w:id="83839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027181">
      <w:bodyDiv w:val="1"/>
      <w:marLeft w:val="0"/>
      <w:marRight w:val="0"/>
      <w:marTop w:val="0"/>
      <w:marBottom w:val="0"/>
      <w:divBdr>
        <w:top w:val="none" w:sz="0" w:space="0" w:color="auto"/>
        <w:left w:val="none" w:sz="0" w:space="0" w:color="auto"/>
        <w:bottom w:val="none" w:sz="0" w:space="0" w:color="auto"/>
        <w:right w:val="none" w:sz="0" w:space="0" w:color="auto"/>
      </w:divBdr>
      <w:divsChild>
        <w:div w:id="1608341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7045179">
      <w:bodyDiv w:val="1"/>
      <w:marLeft w:val="0"/>
      <w:marRight w:val="0"/>
      <w:marTop w:val="0"/>
      <w:marBottom w:val="0"/>
      <w:divBdr>
        <w:top w:val="none" w:sz="0" w:space="0" w:color="auto"/>
        <w:left w:val="none" w:sz="0" w:space="0" w:color="auto"/>
        <w:bottom w:val="none" w:sz="0" w:space="0" w:color="auto"/>
        <w:right w:val="none" w:sz="0" w:space="0" w:color="auto"/>
      </w:divBdr>
    </w:div>
    <w:div w:id="1747455214">
      <w:bodyDiv w:val="1"/>
      <w:marLeft w:val="0"/>
      <w:marRight w:val="0"/>
      <w:marTop w:val="0"/>
      <w:marBottom w:val="0"/>
      <w:divBdr>
        <w:top w:val="none" w:sz="0" w:space="0" w:color="auto"/>
        <w:left w:val="none" w:sz="0" w:space="0" w:color="auto"/>
        <w:bottom w:val="none" w:sz="0" w:space="0" w:color="auto"/>
        <w:right w:val="none" w:sz="0" w:space="0" w:color="auto"/>
      </w:divBdr>
      <w:divsChild>
        <w:div w:id="7910513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628599">
      <w:bodyDiv w:val="1"/>
      <w:marLeft w:val="0"/>
      <w:marRight w:val="0"/>
      <w:marTop w:val="0"/>
      <w:marBottom w:val="0"/>
      <w:divBdr>
        <w:top w:val="none" w:sz="0" w:space="0" w:color="auto"/>
        <w:left w:val="none" w:sz="0" w:space="0" w:color="auto"/>
        <w:bottom w:val="none" w:sz="0" w:space="0" w:color="auto"/>
        <w:right w:val="none" w:sz="0" w:space="0" w:color="auto"/>
      </w:divBdr>
      <w:divsChild>
        <w:div w:id="1432825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956845">
      <w:bodyDiv w:val="1"/>
      <w:marLeft w:val="0"/>
      <w:marRight w:val="0"/>
      <w:marTop w:val="0"/>
      <w:marBottom w:val="0"/>
      <w:divBdr>
        <w:top w:val="none" w:sz="0" w:space="0" w:color="auto"/>
        <w:left w:val="none" w:sz="0" w:space="0" w:color="auto"/>
        <w:bottom w:val="none" w:sz="0" w:space="0" w:color="auto"/>
        <w:right w:val="none" w:sz="0" w:space="0" w:color="auto"/>
      </w:divBdr>
      <w:divsChild>
        <w:div w:id="1420296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2653780">
      <w:bodyDiv w:val="1"/>
      <w:marLeft w:val="0"/>
      <w:marRight w:val="0"/>
      <w:marTop w:val="0"/>
      <w:marBottom w:val="0"/>
      <w:divBdr>
        <w:top w:val="none" w:sz="0" w:space="0" w:color="auto"/>
        <w:left w:val="none" w:sz="0" w:space="0" w:color="auto"/>
        <w:bottom w:val="none" w:sz="0" w:space="0" w:color="auto"/>
        <w:right w:val="none" w:sz="0" w:space="0" w:color="auto"/>
      </w:divBdr>
    </w:div>
    <w:div w:id="1837303059">
      <w:bodyDiv w:val="1"/>
      <w:marLeft w:val="0"/>
      <w:marRight w:val="0"/>
      <w:marTop w:val="0"/>
      <w:marBottom w:val="0"/>
      <w:divBdr>
        <w:top w:val="none" w:sz="0" w:space="0" w:color="auto"/>
        <w:left w:val="none" w:sz="0" w:space="0" w:color="auto"/>
        <w:bottom w:val="none" w:sz="0" w:space="0" w:color="auto"/>
        <w:right w:val="none" w:sz="0" w:space="0" w:color="auto"/>
      </w:divBdr>
    </w:div>
    <w:div w:id="1854758200">
      <w:bodyDiv w:val="1"/>
      <w:marLeft w:val="0"/>
      <w:marRight w:val="0"/>
      <w:marTop w:val="0"/>
      <w:marBottom w:val="0"/>
      <w:divBdr>
        <w:top w:val="none" w:sz="0" w:space="0" w:color="auto"/>
        <w:left w:val="none" w:sz="0" w:space="0" w:color="auto"/>
        <w:bottom w:val="none" w:sz="0" w:space="0" w:color="auto"/>
        <w:right w:val="none" w:sz="0" w:space="0" w:color="auto"/>
      </w:divBdr>
    </w:div>
    <w:div w:id="1859849055">
      <w:bodyDiv w:val="1"/>
      <w:marLeft w:val="0"/>
      <w:marRight w:val="0"/>
      <w:marTop w:val="0"/>
      <w:marBottom w:val="0"/>
      <w:divBdr>
        <w:top w:val="none" w:sz="0" w:space="0" w:color="auto"/>
        <w:left w:val="none" w:sz="0" w:space="0" w:color="auto"/>
        <w:bottom w:val="none" w:sz="0" w:space="0" w:color="auto"/>
        <w:right w:val="none" w:sz="0" w:space="0" w:color="auto"/>
      </w:divBdr>
      <w:divsChild>
        <w:div w:id="1165975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9381">
      <w:bodyDiv w:val="1"/>
      <w:marLeft w:val="0"/>
      <w:marRight w:val="0"/>
      <w:marTop w:val="0"/>
      <w:marBottom w:val="0"/>
      <w:divBdr>
        <w:top w:val="none" w:sz="0" w:space="0" w:color="auto"/>
        <w:left w:val="none" w:sz="0" w:space="0" w:color="auto"/>
        <w:bottom w:val="none" w:sz="0" w:space="0" w:color="auto"/>
        <w:right w:val="none" w:sz="0" w:space="0" w:color="auto"/>
      </w:divBdr>
    </w:div>
    <w:div w:id="1915239910">
      <w:bodyDiv w:val="1"/>
      <w:marLeft w:val="0"/>
      <w:marRight w:val="0"/>
      <w:marTop w:val="0"/>
      <w:marBottom w:val="0"/>
      <w:divBdr>
        <w:top w:val="none" w:sz="0" w:space="0" w:color="auto"/>
        <w:left w:val="none" w:sz="0" w:space="0" w:color="auto"/>
        <w:bottom w:val="none" w:sz="0" w:space="0" w:color="auto"/>
        <w:right w:val="none" w:sz="0" w:space="0" w:color="auto"/>
      </w:divBdr>
    </w:div>
    <w:div w:id="1961298030">
      <w:bodyDiv w:val="1"/>
      <w:marLeft w:val="0"/>
      <w:marRight w:val="0"/>
      <w:marTop w:val="0"/>
      <w:marBottom w:val="0"/>
      <w:divBdr>
        <w:top w:val="none" w:sz="0" w:space="0" w:color="auto"/>
        <w:left w:val="none" w:sz="0" w:space="0" w:color="auto"/>
        <w:bottom w:val="none" w:sz="0" w:space="0" w:color="auto"/>
        <w:right w:val="none" w:sz="0" w:space="0" w:color="auto"/>
      </w:divBdr>
      <w:divsChild>
        <w:div w:id="766534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5449113">
      <w:bodyDiv w:val="1"/>
      <w:marLeft w:val="0"/>
      <w:marRight w:val="0"/>
      <w:marTop w:val="0"/>
      <w:marBottom w:val="0"/>
      <w:divBdr>
        <w:top w:val="none" w:sz="0" w:space="0" w:color="auto"/>
        <w:left w:val="none" w:sz="0" w:space="0" w:color="auto"/>
        <w:bottom w:val="none" w:sz="0" w:space="0" w:color="auto"/>
        <w:right w:val="none" w:sz="0" w:space="0" w:color="auto"/>
      </w:divBdr>
    </w:div>
    <w:div w:id="2019960978">
      <w:bodyDiv w:val="1"/>
      <w:marLeft w:val="0"/>
      <w:marRight w:val="0"/>
      <w:marTop w:val="0"/>
      <w:marBottom w:val="0"/>
      <w:divBdr>
        <w:top w:val="none" w:sz="0" w:space="0" w:color="auto"/>
        <w:left w:val="none" w:sz="0" w:space="0" w:color="auto"/>
        <w:bottom w:val="none" w:sz="0" w:space="0" w:color="auto"/>
        <w:right w:val="none" w:sz="0" w:space="0" w:color="auto"/>
      </w:divBdr>
    </w:div>
    <w:div w:id="2033415391">
      <w:bodyDiv w:val="1"/>
      <w:marLeft w:val="0"/>
      <w:marRight w:val="0"/>
      <w:marTop w:val="0"/>
      <w:marBottom w:val="0"/>
      <w:divBdr>
        <w:top w:val="none" w:sz="0" w:space="0" w:color="auto"/>
        <w:left w:val="none" w:sz="0" w:space="0" w:color="auto"/>
        <w:bottom w:val="none" w:sz="0" w:space="0" w:color="auto"/>
        <w:right w:val="none" w:sz="0" w:space="0" w:color="auto"/>
      </w:divBdr>
    </w:div>
    <w:div w:id="2059669593">
      <w:bodyDiv w:val="1"/>
      <w:marLeft w:val="0"/>
      <w:marRight w:val="0"/>
      <w:marTop w:val="0"/>
      <w:marBottom w:val="0"/>
      <w:divBdr>
        <w:top w:val="none" w:sz="0" w:space="0" w:color="auto"/>
        <w:left w:val="none" w:sz="0" w:space="0" w:color="auto"/>
        <w:bottom w:val="none" w:sz="0" w:space="0" w:color="auto"/>
        <w:right w:val="none" w:sz="0" w:space="0" w:color="auto"/>
      </w:divBdr>
    </w:div>
    <w:div w:id="2067414302">
      <w:bodyDiv w:val="1"/>
      <w:marLeft w:val="0"/>
      <w:marRight w:val="0"/>
      <w:marTop w:val="0"/>
      <w:marBottom w:val="0"/>
      <w:divBdr>
        <w:top w:val="none" w:sz="0" w:space="0" w:color="auto"/>
        <w:left w:val="none" w:sz="0" w:space="0" w:color="auto"/>
        <w:bottom w:val="none" w:sz="0" w:space="0" w:color="auto"/>
        <w:right w:val="none" w:sz="0" w:space="0" w:color="auto"/>
      </w:divBdr>
    </w:div>
    <w:div w:id="2069765411">
      <w:bodyDiv w:val="1"/>
      <w:marLeft w:val="0"/>
      <w:marRight w:val="0"/>
      <w:marTop w:val="0"/>
      <w:marBottom w:val="0"/>
      <w:divBdr>
        <w:top w:val="none" w:sz="0" w:space="0" w:color="auto"/>
        <w:left w:val="none" w:sz="0" w:space="0" w:color="auto"/>
        <w:bottom w:val="none" w:sz="0" w:space="0" w:color="auto"/>
        <w:right w:val="none" w:sz="0" w:space="0" w:color="auto"/>
      </w:divBdr>
    </w:div>
    <w:div w:id="2101483745">
      <w:bodyDiv w:val="1"/>
      <w:marLeft w:val="0"/>
      <w:marRight w:val="0"/>
      <w:marTop w:val="0"/>
      <w:marBottom w:val="0"/>
      <w:divBdr>
        <w:top w:val="none" w:sz="0" w:space="0" w:color="auto"/>
        <w:left w:val="none" w:sz="0" w:space="0" w:color="auto"/>
        <w:bottom w:val="none" w:sz="0" w:space="0" w:color="auto"/>
        <w:right w:val="none" w:sz="0" w:space="0" w:color="auto"/>
      </w:divBdr>
      <w:divsChild>
        <w:div w:id="1584028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864864">
      <w:bodyDiv w:val="1"/>
      <w:marLeft w:val="0"/>
      <w:marRight w:val="0"/>
      <w:marTop w:val="0"/>
      <w:marBottom w:val="0"/>
      <w:divBdr>
        <w:top w:val="none" w:sz="0" w:space="0" w:color="auto"/>
        <w:left w:val="none" w:sz="0" w:space="0" w:color="auto"/>
        <w:bottom w:val="none" w:sz="0" w:space="0" w:color="auto"/>
        <w:right w:val="none" w:sz="0" w:space="0" w:color="auto"/>
      </w:divBdr>
      <w:divsChild>
        <w:div w:id="768046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7699468">
      <w:bodyDiv w:val="1"/>
      <w:marLeft w:val="0"/>
      <w:marRight w:val="0"/>
      <w:marTop w:val="0"/>
      <w:marBottom w:val="0"/>
      <w:divBdr>
        <w:top w:val="none" w:sz="0" w:space="0" w:color="auto"/>
        <w:left w:val="none" w:sz="0" w:space="0" w:color="auto"/>
        <w:bottom w:val="none" w:sz="0" w:space="0" w:color="auto"/>
        <w:right w:val="none" w:sz="0" w:space="0" w:color="auto"/>
      </w:divBdr>
    </w:div>
    <w:div w:id="2144350222">
      <w:bodyDiv w:val="1"/>
      <w:marLeft w:val="0"/>
      <w:marRight w:val="0"/>
      <w:marTop w:val="0"/>
      <w:marBottom w:val="0"/>
      <w:divBdr>
        <w:top w:val="none" w:sz="0" w:space="0" w:color="auto"/>
        <w:left w:val="none" w:sz="0" w:space="0" w:color="auto"/>
        <w:bottom w:val="none" w:sz="0" w:space="0" w:color="auto"/>
        <w:right w:val="none" w:sz="0" w:space="0" w:color="auto"/>
      </w:divBdr>
      <w:divsChild>
        <w:div w:id="118107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oter" Target="footer2.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6.png"/><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9.png"/><Relationship Id="rId28" Type="http://schemas.openxmlformats.org/officeDocument/2006/relationships/image" Target="media/image14.emf"/><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QuickStyle" Target="diagrams/quickStyle1.xml"/><Relationship Id="rId22" Type="http://schemas.openxmlformats.org/officeDocument/2006/relationships/image" Target="media/image8.png"/><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theme" Target="theme/theme1.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ir.lawnet.fordham.edu/ilj/vol40/iss3/11/" TargetMode="External"/><Relationship Id="rId13" Type="http://schemas.openxmlformats.org/officeDocument/2006/relationships/hyperlink" Target="https://globalarbitrationreview.com/insight/know-how/commercial-arbitration/report/united-arab-emirates" TargetMode="External"/><Relationship Id="rId18" Type="http://schemas.openxmlformats.org/officeDocument/2006/relationships/hyperlink" Target="https://doi.org/10.1093/arbint/aiy010" TargetMode="External"/><Relationship Id="rId3" Type="http://schemas.openxmlformats.org/officeDocument/2006/relationships/hyperlink" Target="https://www.cambridge.org/core/books/arbitration-in-the-digital-age/0DC861B58B979185521EB067BC109283" TargetMode="External"/><Relationship Id="rId7" Type="http://schemas.openxmlformats.org/officeDocument/2006/relationships/hyperlink" Target="https://cdn.arbitration-icca.org/s3fs-public/document/media_document/roadmap_28.02.20.pdf" TargetMode="External"/><Relationship Id="rId12" Type="http://schemas.openxmlformats.org/officeDocument/2006/relationships/hyperlink" Target="https://doi.org/10.51788/tsul.jurisprudence.2.4./amci6109" TargetMode="External"/><Relationship Id="rId17" Type="http://schemas.openxmlformats.org/officeDocument/2006/relationships/hyperlink" Target="https://doi.org/10.1080/23311886.2023.2206348" TargetMode="External"/><Relationship Id="rId2" Type="http://schemas.openxmlformats.org/officeDocument/2006/relationships/hyperlink" Target="https://doi.org/10.1371/journal.pone.0174698" TargetMode="External"/><Relationship Id="rId16" Type="http://schemas.openxmlformats.org/officeDocument/2006/relationships/hyperlink" Target="https://doi.org/10.2139/ssrn.3991916" TargetMode="External"/><Relationship Id="rId1" Type="http://schemas.openxmlformats.org/officeDocument/2006/relationships/hyperlink" Target="https://scholarship.law.upenn.edu/faculty_scholarship/672" TargetMode="External"/><Relationship Id="rId6" Type="http://schemas.openxmlformats.org/officeDocument/2006/relationships/hyperlink" Target="https://www.icc-austria.org/fxdata/iccws/prod/media/downloads/guidance-note-possible-measures-mitigating-effects-covid-19-english.pdf" TargetMode="External"/><Relationship Id="rId11" Type="http://schemas.openxmlformats.org/officeDocument/2006/relationships/hyperlink" Target="https://doi.org/10.1080/23311886.2023.2206348" TargetMode="External"/><Relationship Id="rId5" Type="http://schemas.openxmlformats.org/officeDocument/2006/relationships/hyperlink" Target="https://www.moj.gov.ae/" TargetMode="External"/><Relationship Id="rId15" Type="http://schemas.openxmlformats.org/officeDocument/2006/relationships/hyperlink" Target="https://doi.org/10.1080/23311886.2023.2206348" TargetMode="External"/><Relationship Id="rId10" Type="http://schemas.openxmlformats.org/officeDocument/2006/relationships/hyperlink" Target="https://doi.org/10.1080/23311886.2023.2206348" TargetMode="External"/><Relationship Id="rId4" Type="http://schemas.openxmlformats.org/officeDocument/2006/relationships/hyperlink" Target="https://www.kluwerarbitration.com/" TargetMode="External"/><Relationship Id="rId9" Type="http://schemas.openxmlformats.org/officeDocument/2006/relationships/hyperlink" Target="https://riskandcompliance.freshfields.com/post/102i752/updated-data-protection-and-cybersecurity-guidelines-for-international-arbitratio" TargetMode="External"/><Relationship Id="rId14" Type="http://schemas.openxmlformats.org/officeDocument/2006/relationships/hyperlink" Target="https://doi.org/10.1080/23311886.2023.2206348"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A02AA0-7B0E-42ED-AC3D-6E83FA50F375}" type="doc">
      <dgm:prSet loTypeId="urn:microsoft.com/office/officeart/2005/8/layout/orgChart1" loCatId="hierarchy" qsTypeId="urn:microsoft.com/office/officeart/2005/8/quickstyle/simple1" qsCatId="simple" csTypeId="urn:microsoft.com/office/officeart/2005/8/colors/accent1_2" csCatId="accent1"/>
      <dgm:spPr/>
    </dgm:pt>
    <dgm:pt modelId="{564C0CEE-1C3F-45D0-99F3-14E645B14C5A}">
      <dgm:prSet/>
      <dgm:spPr>
        <a:xfrm>
          <a:off x="2190608" y="399"/>
          <a:ext cx="1536983" cy="768491"/>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endParaRPr lang="x-none" b="0" i="0" u="none" strike="noStrike" baseline="0">
            <a:solidFill>
              <a:sysClr val="window" lastClr="FFFFFF"/>
            </a:solidFill>
            <a:latin typeface="Times New Roman" panose="02020603050405020304" pitchFamily="18" charset="0"/>
            <a:ea typeface="+mn-ea"/>
            <a:cs typeface="Times New Roman" panose="02020603050405020304" pitchFamily="18" charset="0"/>
          </a:endParaRPr>
        </a:p>
        <a:p>
          <a:pPr marR="0" algn="ctr" rtl="0"/>
          <a:r>
            <a:rPr lang="en-US" b="1" i="0" u="none" strike="noStrike" baseline="0">
              <a:solidFill>
                <a:sysClr val="window" lastClr="FFFFFF"/>
              </a:solidFill>
              <a:latin typeface="Times New Roman" panose="02020603050405020304" pitchFamily="18" charset="0"/>
              <a:ea typeface="+mn-ea"/>
              <a:cs typeface="Times New Roman" panose="02020603050405020304" pitchFamily="18" charset="0"/>
            </a:rPr>
            <a:t>Potential Interviewee</a:t>
          </a:r>
          <a:endParaRPr lang="x-none">
            <a:solidFill>
              <a:sysClr val="window" lastClr="FFFFFF"/>
            </a:solidFill>
            <a:latin typeface="Times New Roman" panose="02020603050405020304" pitchFamily="18" charset="0"/>
            <a:ea typeface="+mn-ea"/>
            <a:cs typeface="Times New Roman" panose="02020603050405020304" pitchFamily="18" charset="0"/>
          </a:endParaRPr>
        </a:p>
      </dgm:t>
    </dgm:pt>
    <dgm:pt modelId="{D2A4D452-C7B6-41BC-87BC-6AC07FBCEE1A}" type="parTrans" cxnId="{04A4D538-486B-4697-A5C9-0A232807761B}">
      <dgm:prSet/>
      <dgm:spPr/>
      <dgm:t>
        <a:bodyPr/>
        <a:lstStyle/>
        <a:p>
          <a:pPr algn="ctr"/>
          <a:endParaRPr lang="en-US">
            <a:latin typeface="Times New Roman" panose="02020603050405020304" pitchFamily="18" charset="0"/>
            <a:cs typeface="Times New Roman" panose="02020603050405020304" pitchFamily="18" charset="0"/>
          </a:endParaRPr>
        </a:p>
      </dgm:t>
    </dgm:pt>
    <dgm:pt modelId="{DECCA05E-0A80-4235-B2D3-1057AEE3B760}" type="sibTrans" cxnId="{04A4D538-486B-4697-A5C9-0A232807761B}">
      <dgm:prSet/>
      <dgm:spPr/>
      <dgm:t>
        <a:bodyPr/>
        <a:lstStyle/>
        <a:p>
          <a:pPr algn="ctr"/>
          <a:endParaRPr lang="en-US">
            <a:latin typeface="Times New Roman" panose="02020603050405020304" pitchFamily="18" charset="0"/>
            <a:cs typeface="Times New Roman" panose="02020603050405020304" pitchFamily="18" charset="0"/>
          </a:endParaRPr>
        </a:p>
      </dgm:t>
    </dgm:pt>
    <dgm:pt modelId="{4541E83E-1295-47A6-91DA-3636A6A05B44}">
      <dgm:prSet/>
      <dgm:spPr>
        <a:xfrm>
          <a:off x="330857" y="1091658"/>
          <a:ext cx="1536983" cy="768491"/>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en-US" b="1" i="0" u="none" strike="noStrike" baseline="0">
              <a:solidFill>
                <a:sysClr val="window" lastClr="FFFFFF"/>
              </a:solidFill>
              <a:latin typeface="Times New Roman" panose="02020603050405020304" pitchFamily="18" charset="0"/>
              <a:ea typeface="+mn-ea"/>
              <a:cs typeface="Times New Roman" panose="02020603050405020304" pitchFamily="18" charset="0"/>
            </a:rPr>
            <a:t>Must have experienced the phenomenon</a:t>
          </a:r>
          <a:endParaRPr lang="x-none">
            <a:solidFill>
              <a:sysClr val="window" lastClr="FFFFFF"/>
            </a:solidFill>
            <a:latin typeface="Times New Roman" panose="02020603050405020304" pitchFamily="18" charset="0"/>
            <a:ea typeface="+mn-ea"/>
            <a:cs typeface="Times New Roman" panose="02020603050405020304" pitchFamily="18" charset="0"/>
          </a:endParaRPr>
        </a:p>
      </dgm:t>
    </dgm:pt>
    <dgm:pt modelId="{4E55CDDB-5940-4441-B734-72A6B0C20C83}" type="parTrans" cxnId="{E17099DE-AD1F-4CA1-9E71-08808D3756F1}">
      <dgm:prSet/>
      <dgm:spPr>
        <a:xfrm>
          <a:off x="1099349" y="768891"/>
          <a:ext cx="1859750" cy="322766"/>
        </a:xfrm>
        <a:custGeom>
          <a:avLst/>
          <a:gdLst/>
          <a:ahLst/>
          <a:cxnLst/>
          <a:rect l="0" t="0" r="0" b="0"/>
          <a:pathLst>
            <a:path>
              <a:moveTo>
                <a:pt x="1859750" y="0"/>
              </a:moveTo>
              <a:lnTo>
                <a:pt x="1859750" y="161383"/>
              </a:lnTo>
              <a:lnTo>
                <a:pt x="0" y="161383"/>
              </a:lnTo>
              <a:lnTo>
                <a:pt x="0" y="322766"/>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lgn="ctr"/>
          <a:endParaRPr lang="en-US">
            <a:latin typeface="Times New Roman" panose="02020603050405020304" pitchFamily="18" charset="0"/>
            <a:cs typeface="Times New Roman" panose="02020603050405020304" pitchFamily="18" charset="0"/>
          </a:endParaRPr>
        </a:p>
      </dgm:t>
    </dgm:pt>
    <dgm:pt modelId="{3CC639EC-2257-4375-AC30-73870924EAD3}" type="sibTrans" cxnId="{E17099DE-AD1F-4CA1-9E71-08808D3756F1}">
      <dgm:prSet/>
      <dgm:spPr/>
      <dgm:t>
        <a:bodyPr/>
        <a:lstStyle/>
        <a:p>
          <a:pPr algn="ctr"/>
          <a:endParaRPr lang="en-US">
            <a:latin typeface="Times New Roman" panose="02020603050405020304" pitchFamily="18" charset="0"/>
            <a:cs typeface="Times New Roman" panose="02020603050405020304" pitchFamily="18" charset="0"/>
          </a:endParaRPr>
        </a:p>
      </dgm:t>
    </dgm:pt>
    <dgm:pt modelId="{6766064B-5F9C-4936-A477-DDA2BD92F58A}">
      <dgm:prSet/>
      <dgm:spPr>
        <a:xfrm>
          <a:off x="2190608" y="1091658"/>
          <a:ext cx="1536983" cy="768491"/>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en-US" b="1" i="0" u="none" strike="noStrike" baseline="0">
              <a:solidFill>
                <a:sysClr val="window" lastClr="FFFFFF"/>
              </a:solidFill>
              <a:latin typeface="Times New Roman" panose="02020603050405020304" pitchFamily="18" charset="0"/>
              <a:ea typeface="+mn-ea"/>
              <a:cs typeface="Times New Roman" panose="02020603050405020304" pitchFamily="18" charset="0"/>
            </a:rPr>
            <a:t>Alternatively, is experiencing the phenomenon</a:t>
          </a:r>
          <a:endParaRPr lang="x-none">
            <a:solidFill>
              <a:sysClr val="window" lastClr="FFFFFF"/>
            </a:solidFill>
            <a:latin typeface="Times New Roman" panose="02020603050405020304" pitchFamily="18" charset="0"/>
            <a:ea typeface="+mn-ea"/>
            <a:cs typeface="Times New Roman" panose="02020603050405020304" pitchFamily="18" charset="0"/>
          </a:endParaRPr>
        </a:p>
      </dgm:t>
    </dgm:pt>
    <dgm:pt modelId="{5E9C9E2A-AD51-4B5C-9C34-5CE16FA5FDF8}" type="parTrans" cxnId="{2C7BA0A5-5CEE-4C57-A50C-D36496E48863}">
      <dgm:prSet/>
      <dgm:spPr>
        <a:xfrm>
          <a:off x="2913379" y="768891"/>
          <a:ext cx="91440" cy="322766"/>
        </a:xfrm>
        <a:custGeom>
          <a:avLst/>
          <a:gdLst/>
          <a:ahLst/>
          <a:cxnLst/>
          <a:rect l="0" t="0" r="0" b="0"/>
          <a:pathLst>
            <a:path>
              <a:moveTo>
                <a:pt x="45720" y="0"/>
              </a:moveTo>
              <a:lnTo>
                <a:pt x="45720" y="322766"/>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lgn="ctr"/>
          <a:endParaRPr lang="en-US">
            <a:latin typeface="Times New Roman" panose="02020603050405020304" pitchFamily="18" charset="0"/>
            <a:cs typeface="Times New Roman" panose="02020603050405020304" pitchFamily="18" charset="0"/>
          </a:endParaRPr>
        </a:p>
      </dgm:t>
    </dgm:pt>
    <dgm:pt modelId="{34DE8C2A-1A84-4617-BFA7-70372E8D4EB0}" type="sibTrans" cxnId="{2C7BA0A5-5CEE-4C57-A50C-D36496E48863}">
      <dgm:prSet/>
      <dgm:spPr/>
      <dgm:t>
        <a:bodyPr/>
        <a:lstStyle/>
        <a:p>
          <a:pPr algn="ctr"/>
          <a:endParaRPr lang="en-US">
            <a:latin typeface="Times New Roman" panose="02020603050405020304" pitchFamily="18" charset="0"/>
            <a:cs typeface="Times New Roman" panose="02020603050405020304" pitchFamily="18" charset="0"/>
          </a:endParaRPr>
        </a:p>
      </dgm:t>
    </dgm:pt>
    <dgm:pt modelId="{9269B854-FCBA-46C6-843C-9373B4CDD9D5}">
      <dgm:prSet/>
      <dgm:spPr>
        <a:xfrm>
          <a:off x="4050358" y="1091658"/>
          <a:ext cx="1536983" cy="768491"/>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en-US" b="1" i="0" u="none" strike="noStrike" baseline="0">
              <a:solidFill>
                <a:sysClr val="window" lastClr="FFFFFF"/>
              </a:solidFill>
              <a:latin typeface="Times New Roman" panose="02020603050405020304" pitchFamily="18" charset="0"/>
              <a:ea typeface="+mn-ea"/>
              <a:cs typeface="Times New Roman" panose="02020603050405020304" pitchFamily="18" charset="0"/>
            </a:rPr>
            <a:t>Consents to participate in the study</a:t>
          </a:r>
          <a:endParaRPr lang="x-none">
            <a:solidFill>
              <a:sysClr val="window" lastClr="FFFFFF"/>
            </a:solidFill>
            <a:latin typeface="Times New Roman" panose="02020603050405020304" pitchFamily="18" charset="0"/>
            <a:ea typeface="+mn-ea"/>
            <a:cs typeface="Times New Roman" panose="02020603050405020304" pitchFamily="18" charset="0"/>
          </a:endParaRPr>
        </a:p>
      </dgm:t>
    </dgm:pt>
    <dgm:pt modelId="{BA01724A-DBD1-4FA9-91B6-BD23B366D151}" type="parTrans" cxnId="{6D71F62E-E796-4FDD-B4AD-2235FE7A4C9D}">
      <dgm:prSet/>
      <dgm:spPr>
        <a:xfrm>
          <a:off x="2959100" y="768891"/>
          <a:ext cx="1859750" cy="322766"/>
        </a:xfrm>
        <a:custGeom>
          <a:avLst/>
          <a:gdLst/>
          <a:ahLst/>
          <a:cxnLst/>
          <a:rect l="0" t="0" r="0" b="0"/>
          <a:pathLst>
            <a:path>
              <a:moveTo>
                <a:pt x="0" y="0"/>
              </a:moveTo>
              <a:lnTo>
                <a:pt x="0" y="161383"/>
              </a:lnTo>
              <a:lnTo>
                <a:pt x="1859750" y="161383"/>
              </a:lnTo>
              <a:lnTo>
                <a:pt x="1859750" y="322766"/>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lgn="ctr"/>
          <a:endParaRPr lang="en-US">
            <a:latin typeface="Times New Roman" panose="02020603050405020304" pitchFamily="18" charset="0"/>
            <a:cs typeface="Times New Roman" panose="02020603050405020304" pitchFamily="18" charset="0"/>
          </a:endParaRPr>
        </a:p>
      </dgm:t>
    </dgm:pt>
    <dgm:pt modelId="{6AC2EBBF-2F2E-4795-9CFA-57D487715FC5}" type="sibTrans" cxnId="{6D71F62E-E796-4FDD-B4AD-2235FE7A4C9D}">
      <dgm:prSet/>
      <dgm:spPr/>
      <dgm:t>
        <a:bodyPr/>
        <a:lstStyle/>
        <a:p>
          <a:pPr algn="ctr"/>
          <a:endParaRPr lang="en-US">
            <a:latin typeface="Times New Roman" panose="02020603050405020304" pitchFamily="18" charset="0"/>
            <a:cs typeface="Times New Roman" panose="02020603050405020304" pitchFamily="18" charset="0"/>
          </a:endParaRPr>
        </a:p>
      </dgm:t>
    </dgm:pt>
    <dgm:pt modelId="{5074109A-3D4E-418A-93F9-072DE6F4731D}" type="pres">
      <dgm:prSet presAssocID="{19A02AA0-7B0E-42ED-AC3D-6E83FA50F375}" presName="hierChild1" presStyleCnt="0">
        <dgm:presLayoutVars>
          <dgm:orgChart val="1"/>
          <dgm:chPref val="1"/>
          <dgm:dir/>
          <dgm:animOne val="branch"/>
          <dgm:animLvl val="lvl"/>
          <dgm:resizeHandles/>
        </dgm:presLayoutVars>
      </dgm:prSet>
      <dgm:spPr/>
    </dgm:pt>
    <dgm:pt modelId="{ED59EB73-7D58-4F0D-AD8F-04D39C256DE3}" type="pres">
      <dgm:prSet presAssocID="{564C0CEE-1C3F-45D0-99F3-14E645B14C5A}" presName="hierRoot1" presStyleCnt="0">
        <dgm:presLayoutVars>
          <dgm:hierBranch/>
        </dgm:presLayoutVars>
      </dgm:prSet>
      <dgm:spPr/>
    </dgm:pt>
    <dgm:pt modelId="{9A410F03-EA9B-4395-B270-49C3421FD0C5}" type="pres">
      <dgm:prSet presAssocID="{564C0CEE-1C3F-45D0-99F3-14E645B14C5A}" presName="rootComposite1" presStyleCnt="0"/>
      <dgm:spPr/>
    </dgm:pt>
    <dgm:pt modelId="{70E1A579-6445-49E7-862D-9E8CBC0B728C}" type="pres">
      <dgm:prSet presAssocID="{564C0CEE-1C3F-45D0-99F3-14E645B14C5A}" presName="rootText1" presStyleLbl="node0" presStyleIdx="0" presStyleCnt="1">
        <dgm:presLayoutVars>
          <dgm:chPref val="3"/>
        </dgm:presLayoutVars>
      </dgm:prSet>
      <dgm:spPr/>
      <dgm:t>
        <a:bodyPr/>
        <a:lstStyle/>
        <a:p>
          <a:endParaRPr lang="en-US"/>
        </a:p>
      </dgm:t>
    </dgm:pt>
    <dgm:pt modelId="{081623C9-93D1-43FA-964D-E582C2C5A2D7}" type="pres">
      <dgm:prSet presAssocID="{564C0CEE-1C3F-45D0-99F3-14E645B14C5A}" presName="rootConnector1" presStyleLbl="node1" presStyleIdx="0" presStyleCnt="0"/>
      <dgm:spPr/>
      <dgm:t>
        <a:bodyPr/>
        <a:lstStyle/>
        <a:p>
          <a:endParaRPr lang="en-US"/>
        </a:p>
      </dgm:t>
    </dgm:pt>
    <dgm:pt modelId="{66DF2E5F-C2EC-4719-B2D3-FA05D2028765}" type="pres">
      <dgm:prSet presAssocID="{564C0CEE-1C3F-45D0-99F3-14E645B14C5A}" presName="hierChild2" presStyleCnt="0"/>
      <dgm:spPr/>
    </dgm:pt>
    <dgm:pt modelId="{2B803AB4-94AF-49BF-9464-8D82B92B689E}" type="pres">
      <dgm:prSet presAssocID="{4E55CDDB-5940-4441-B734-72A6B0C20C83}" presName="Name35" presStyleLbl="parChTrans1D2" presStyleIdx="0" presStyleCnt="3"/>
      <dgm:spPr/>
      <dgm:t>
        <a:bodyPr/>
        <a:lstStyle/>
        <a:p>
          <a:endParaRPr lang="en-US"/>
        </a:p>
      </dgm:t>
    </dgm:pt>
    <dgm:pt modelId="{8B42F663-F469-4D60-907A-124D5EC125D9}" type="pres">
      <dgm:prSet presAssocID="{4541E83E-1295-47A6-91DA-3636A6A05B44}" presName="hierRoot2" presStyleCnt="0">
        <dgm:presLayoutVars>
          <dgm:hierBranch/>
        </dgm:presLayoutVars>
      </dgm:prSet>
      <dgm:spPr/>
    </dgm:pt>
    <dgm:pt modelId="{4C11EFD2-4852-4238-8313-9ED8889C87D1}" type="pres">
      <dgm:prSet presAssocID="{4541E83E-1295-47A6-91DA-3636A6A05B44}" presName="rootComposite" presStyleCnt="0"/>
      <dgm:spPr/>
    </dgm:pt>
    <dgm:pt modelId="{A221875E-BEB0-412B-83BD-9ACF2F94E6ED}" type="pres">
      <dgm:prSet presAssocID="{4541E83E-1295-47A6-91DA-3636A6A05B44}" presName="rootText" presStyleLbl="node2" presStyleIdx="0" presStyleCnt="3">
        <dgm:presLayoutVars>
          <dgm:chPref val="3"/>
        </dgm:presLayoutVars>
      </dgm:prSet>
      <dgm:spPr/>
      <dgm:t>
        <a:bodyPr/>
        <a:lstStyle/>
        <a:p>
          <a:endParaRPr lang="en-US"/>
        </a:p>
      </dgm:t>
    </dgm:pt>
    <dgm:pt modelId="{9DB9998C-456C-4DF2-B8E6-DADF77D85F64}" type="pres">
      <dgm:prSet presAssocID="{4541E83E-1295-47A6-91DA-3636A6A05B44}" presName="rootConnector" presStyleLbl="node2" presStyleIdx="0" presStyleCnt="3"/>
      <dgm:spPr/>
      <dgm:t>
        <a:bodyPr/>
        <a:lstStyle/>
        <a:p>
          <a:endParaRPr lang="en-US"/>
        </a:p>
      </dgm:t>
    </dgm:pt>
    <dgm:pt modelId="{15B5AC3F-3527-4C7F-B4C1-FD28937B7416}" type="pres">
      <dgm:prSet presAssocID="{4541E83E-1295-47A6-91DA-3636A6A05B44}" presName="hierChild4" presStyleCnt="0"/>
      <dgm:spPr/>
    </dgm:pt>
    <dgm:pt modelId="{785D9BED-A57F-44DC-BF6A-A39E27C927EF}" type="pres">
      <dgm:prSet presAssocID="{4541E83E-1295-47A6-91DA-3636A6A05B44}" presName="hierChild5" presStyleCnt="0"/>
      <dgm:spPr/>
    </dgm:pt>
    <dgm:pt modelId="{FF29BCBF-382D-45BF-8DAD-902228E49619}" type="pres">
      <dgm:prSet presAssocID="{5E9C9E2A-AD51-4B5C-9C34-5CE16FA5FDF8}" presName="Name35" presStyleLbl="parChTrans1D2" presStyleIdx="1" presStyleCnt="3"/>
      <dgm:spPr/>
      <dgm:t>
        <a:bodyPr/>
        <a:lstStyle/>
        <a:p>
          <a:endParaRPr lang="en-US"/>
        </a:p>
      </dgm:t>
    </dgm:pt>
    <dgm:pt modelId="{73442711-80B9-4925-8718-2D186DFBD916}" type="pres">
      <dgm:prSet presAssocID="{6766064B-5F9C-4936-A477-DDA2BD92F58A}" presName="hierRoot2" presStyleCnt="0">
        <dgm:presLayoutVars>
          <dgm:hierBranch/>
        </dgm:presLayoutVars>
      </dgm:prSet>
      <dgm:spPr/>
    </dgm:pt>
    <dgm:pt modelId="{41281267-BF3B-4B7D-B554-92B806FDBFE7}" type="pres">
      <dgm:prSet presAssocID="{6766064B-5F9C-4936-A477-DDA2BD92F58A}" presName="rootComposite" presStyleCnt="0"/>
      <dgm:spPr/>
    </dgm:pt>
    <dgm:pt modelId="{B7F7CE28-93D8-4D0C-B266-1B1E6E152D57}" type="pres">
      <dgm:prSet presAssocID="{6766064B-5F9C-4936-A477-DDA2BD92F58A}" presName="rootText" presStyleLbl="node2" presStyleIdx="1" presStyleCnt="3">
        <dgm:presLayoutVars>
          <dgm:chPref val="3"/>
        </dgm:presLayoutVars>
      </dgm:prSet>
      <dgm:spPr/>
      <dgm:t>
        <a:bodyPr/>
        <a:lstStyle/>
        <a:p>
          <a:endParaRPr lang="en-US"/>
        </a:p>
      </dgm:t>
    </dgm:pt>
    <dgm:pt modelId="{65620C0E-BB37-4397-B430-3CC526FE0F7F}" type="pres">
      <dgm:prSet presAssocID="{6766064B-5F9C-4936-A477-DDA2BD92F58A}" presName="rootConnector" presStyleLbl="node2" presStyleIdx="1" presStyleCnt="3"/>
      <dgm:spPr/>
      <dgm:t>
        <a:bodyPr/>
        <a:lstStyle/>
        <a:p>
          <a:endParaRPr lang="en-US"/>
        </a:p>
      </dgm:t>
    </dgm:pt>
    <dgm:pt modelId="{81EE25E1-A65F-446F-AA95-F0011908DC06}" type="pres">
      <dgm:prSet presAssocID="{6766064B-5F9C-4936-A477-DDA2BD92F58A}" presName="hierChild4" presStyleCnt="0"/>
      <dgm:spPr/>
    </dgm:pt>
    <dgm:pt modelId="{49A9315D-B2C4-416F-8162-0A0DC51DD9F3}" type="pres">
      <dgm:prSet presAssocID="{6766064B-5F9C-4936-A477-DDA2BD92F58A}" presName="hierChild5" presStyleCnt="0"/>
      <dgm:spPr/>
    </dgm:pt>
    <dgm:pt modelId="{2D82E417-4DED-407B-8486-110470703B0D}" type="pres">
      <dgm:prSet presAssocID="{BA01724A-DBD1-4FA9-91B6-BD23B366D151}" presName="Name35" presStyleLbl="parChTrans1D2" presStyleIdx="2" presStyleCnt="3"/>
      <dgm:spPr/>
      <dgm:t>
        <a:bodyPr/>
        <a:lstStyle/>
        <a:p>
          <a:endParaRPr lang="en-US"/>
        </a:p>
      </dgm:t>
    </dgm:pt>
    <dgm:pt modelId="{033D8F56-46E1-495A-9BD5-3773EF0EBB8C}" type="pres">
      <dgm:prSet presAssocID="{9269B854-FCBA-46C6-843C-9373B4CDD9D5}" presName="hierRoot2" presStyleCnt="0">
        <dgm:presLayoutVars>
          <dgm:hierBranch/>
        </dgm:presLayoutVars>
      </dgm:prSet>
      <dgm:spPr/>
    </dgm:pt>
    <dgm:pt modelId="{9608D761-0EA2-4267-99C9-3A43D385AA19}" type="pres">
      <dgm:prSet presAssocID="{9269B854-FCBA-46C6-843C-9373B4CDD9D5}" presName="rootComposite" presStyleCnt="0"/>
      <dgm:spPr/>
    </dgm:pt>
    <dgm:pt modelId="{D7D94867-638A-46B9-AAB6-33C69FB9A1D5}" type="pres">
      <dgm:prSet presAssocID="{9269B854-FCBA-46C6-843C-9373B4CDD9D5}" presName="rootText" presStyleLbl="node2" presStyleIdx="2" presStyleCnt="3">
        <dgm:presLayoutVars>
          <dgm:chPref val="3"/>
        </dgm:presLayoutVars>
      </dgm:prSet>
      <dgm:spPr/>
      <dgm:t>
        <a:bodyPr/>
        <a:lstStyle/>
        <a:p>
          <a:endParaRPr lang="en-US"/>
        </a:p>
      </dgm:t>
    </dgm:pt>
    <dgm:pt modelId="{EC524519-7789-490A-A516-40A4C3C9FF3A}" type="pres">
      <dgm:prSet presAssocID="{9269B854-FCBA-46C6-843C-9373B4CDD9D5}" presName="rootConnector" presStyleLbl="node2" presStyleIdx="2" presStyleCnt="3"/>
      <dgm:spPr/>
      <dgm:t>
        <a:bodyPr/>
        <a:lstStyle/>
        <a:p>
          <a:endParaRPr lang="en-US"/>
        </a:p>
      </dgm:t>
    </dgm:pt>
    <dgm:pt modelId="{D36065FF-1038-4C13-A559-A3DAE8E29360}" type="pres">
      <dgm:prSet presAssocID="{9269B854-FCBA-46C6-843C-9373B4CDD9D5}" presName="hierChild4" presStyleCnt="0"/>
      <dgm:spPr/>
    </dgm:pt>
    <dgm:pt modelId="{6D094D37-1756-45BC-B0B3-B6C4AD75AFB0}" type="pres">
      <dgm:prSet presAssocID="{9269B854-FCBA-46C6-843C-9373B4CDD9D5}" presName="hierChild5" presStyleCnt="0"/>
      <dgm:spPr/>
    </dgm:pt>
    <dgm:pt modelId="{B14976C1-246C-49FB-8761-F8B28E53CB8F}" type="pres">
      <dgm:prSet presAssocID="{564C0CEE-1C3F-45D0-99F3-14E645B14C5A}" presName="hierChild3" presStyleCnt="0"/>
      <dgm:spPr/>
    </dgm:pt>
  </dgm:ptLst>
  <dgm:cxnLst>
    <dgm:cxn modelId="{BF52E779-9114-4F34-BB05-24DAB40539ED}" type="presOf" srcId="{6766064B-5F9C-4936-A477-DDA2BD92F58A}" destId="{65620C0E-BB37-4397-B430-3CC526FE0F7F}" srcOrd="1" destOrd="0" presId="urn:microsoft.com/office/officeart/2005/8/layout/orgChart1"/>
    <dgm:cxn modelId="{E1A20BC7-AB49-4006-8043-F8CD087A141A}" type="presOf" srcId="{564C0CEE-1C3F-45D0-99F3-14E645B14C5A}" destId="{081623C9-93D1-43FA-964D-E582C2C5A2D7}" srcOrd="1" destOrd="0" presId="urn:microsoft.com/office/officeart/2005/8/layout/orgChart1"/>
    <dgm:cxn modelId="{612B2CB6-99FB-4BE5-BFCD-B758C9ADDE90}" type="presOf" srcId="{9269B854-FCBA-46C6-843C-9373B4CDD9D5}" destId="{D7D94867-638A-46B9-AAB6-33C69FB9A1D5}" srcOrd="0" destOrd="0" presId="urn:microsoft.com/office/officeart/2005/8/layout/orgChart1"/>
    <dgm:cxn modelId="{CE5482C1-275A-4F2A-A100-FA08D6D4E7CA}" type="presOf" srcId="{4541E83E-1295-47A6-91DA-3636A6A05B44}" destId="{A221875E-BEB0-412B-83BD-9ACF2F94E6ED}" srcOrd="0" destOrd="0" presId="urn:microsoft.com/office/officeart/2005/8/layout/orgChart1"/>
    <dgm:cxn modelId="{E17099DE-AD1F-4CA1-9E71-08808D3756F1}" srcId="{564C0CEE-1C3F-45D0-99F3-14E645B14C5A}" destId="{4541E83E-1295-47A6-91DA-3636A6A05B44}" srcOrd="0" destOrd="0" parTransId="{4E55CDDB-5940-4441-B734-72A6B0C20C83}" sibTransId="{3CC639EC-2257-4375-AC30-73870924EAD3}"/>
    <dgm:cxn modelId="{2C7BA0A5-5CEE-4C57-A50C-D36496E48863}" srcId="{564C0CEE-1C3F-45D0-99F3-14E645B14C5A}" destId="{6766064B-5F9C-4936-A477-DDA2BD92F58A}" srcOrd="1" destOrd="0" parTransId="{5E9C9E2A-AD51-4B5C-9C34-5CE16FA5FDF8}" sibTransId="{34DE8C2A-1A84-4617-BFA7-70372E8D4EB0}"/>
    <dgm:cxn modelId="{DB6097D5-C769-47E4-8FF9-3D1BBDD418FF}" type="presOf" srcId="{564C0CEE-1C3F-45D0-99F3-14E645B14C5A}" destId="{70E1A579-6445-49E7-862D-9E8CBC0B728C}" srcOrd="0" destOrd="0" presId="urn:microsoft.com/office/officeart/2005/8/layout/orgChart1"/>
    <dgm:cxn modelId="{058AC174-E14A-4319-A549-584E50345BAE}" type="presOf" srcId="{BA01724A-DBD1-4FA9-91B6-BD23B366D151}" destId="{2D82E417-4DED-407B-8486-110470703B0D}" srcOrd="0" destOrd="0" presId="urn:microsoft.com/office/officeart/2005/8/layout/orgChart1"/>
    <dgm:cxn modelId="{6D71F62E-E796-4FDD-B4AD-2235FE7A4C9D}" srcId="{564C0CEE-1C3F-45D0-99F3-14E645B14C5A}" destId="{9269B854-FCBA-46C6-843C-9373B4CDD9D5}" srcOrd="2" destOrd="0" parTransId="{BA01724A-DBD1-4FA9-91B6-BD23B366D151}" sibTransId="{6AC2EBBF-2F2E-4795-9CFA-57D487715FC5}"/>
    <dgm:cxn modelId="{B86BED99-024E-43FD-B106-659FEBCCDF34}" type="presOf" srcId="{19A02AA0-7B0E-42ED-AC3D-6E83FA50F375}" destId="{5074109A-3D4E-418A-93F9-072DE6F4731D}" srcOrd="0" destOrd="0" presId="urn:microsoft.com/office/officeart/2005/8/layout/orgChart1"/>
    <dgm:cxn modelId="{846CBF69-96B3-4939-AD54-F172370BB44C}" type="presOf" srcId="{9269B854-FCBA-46C6-843C-9373B4CDD9D5}" destId="{EC524519-7789-490A-A516-40A4C3C9FF3A}" srcOrd="1" destOrd="0" presId="urn:microsoft.com/office/officeart/2005/8/layout/orgChart1"/>
    <dgm:cxn modelId="{45226EE5-B082-4A79-B1B5-CA1194D108CB}" type="presOf" srcId="{5E9C9E2A-AD51-4B5C-9C34-5CE16FA5FDF8}" destId="{FF29BCBF-382D-45BF-8DAD-902228E49619}" srcOrd="0" destOrd="0" presId="urn:microsoft.com/office/officeart/2005/8/layout/orgChart1"/>
    <dgm:cxn modelId="{0F62C11B-7220-4600-B8A0-73FB53061BA7}" type="presOf" srcId="{4541E83E-1295-47A6-91DA-3636A6A05B44}" destId="{9DB9998C-456C-4DF2-B8E6-DADF77D85F64}" srcOrd="1" destOrd="0" presId="urn:microsoft.com/office/officeart/2005/8/layout/orgChart1"/>
    <dgm:cxn modelId="{65BE4ED6-9267-4D44-B1A1-AED512C97A7D}" type="presOf" srcId="{4E55CDDB-5940-4441-B734-72A6B0C20C83}" destId="{2B803AB4-94AF-49BF-9464-8D82B92B689E}" srcOrd="0" destOrd="0" presId="urn:microsoft.com/office/officeart/2005/8/layout/orgChart1"/>
    <dgm:cxn modelId="{550604BE-B5F7-47B0-B06C-81A4C53D6E1B}" type="presOf" srcId="{6766064B-5F9C-4936-A477-DDA2BD92F58A}" destId="{B7F7CE28-93D8-4D0C-B266-1B1E6E152D57}" srcOrd="0" destOrd="0" presId="urn:microsoft.com/office/officeart/2005/8/layout/orgChart1"/>
    <dgm:cxn modelId="{04A4D538-486B-4697-A5C9-0A232807761B}" srcId="{19A02AA0-7B0E-42ED-AC3D-6E83FA50F375}" destId="{564C0CEE-1C3F-45D0-99F3-14E645B14C5A}" srcOrd="0" destOrd="0" parTransId="{D2A4D452-C7B6-41BC-87BC-6AC07FBCEE1A}" sibTransId="{DECCA05E-0A80-4235-B2D3-1057AEE3B760}"/>
    <dgm:cxn modelId="{8F71EAA7-0FD9-47C2-9020-88A545EFAB49}" type="presParOf" srcId="{5074109A-3D4E-418A-93F9-072DE6F4731D}" destId="{ED59EB73-7D58-4F0D-AD8F-04D39C256DE3}" srcOrd="0" destOrd="0" presId="urn:microsoft.com/office/officeart/2005/8/layout/orgChart1"/>
    <dgm:cxn modelId="{684E8F76-6358-4911-AD8B-F7B4EB575472}" type="presParOf" srcId="{ED59EB73-7D58-4F0D-AD8F-04D39C256DE3}" destId="{9A410F03-EA9B-4395-B270-49C3421FD0C5}" srcOrd="0" destOrd="0" presId="urn:microsoft.com/office/officeart/2005/8/layout/orgChart1"/>
    <dgm:cxn modelId="{07F063B5-4887-4086-A515-5C7AF254E341}" type="presParOf" srcId="{9A410F03-EA9B-4395-B270-49C3421FD0C5}" destId="{70E1A579-6445-49E7-862D-9E8CBC0B728C}" srcOrd="0" destOrd="0" presId="urn:microsoft.com/office/officeart/2005/8/layout/orgChart1"/>
    <dgm:cxn modelId="{67D5D711-F620-4413-8F1B-FE60BA2E38F7}" type="presParOf" srcId="{9A410F03-EA9B-4395-B270-49C3421FD0C5}" destId="{081623C9-93D1-43FA-964D-E582C2C5A2D7}" srcOrd="1" destOrd="0" presId="urn:microsoft.com/office/officeart/2005/8/layout/orgChart1"/>
    <dgm:cxn modelId="{E50B6224-51CD-4942-BD66-64D5A4B67756}" type="presParOf" srcId="{ED59EB73-7D58-4F0D-AD8F-04D39C256DE3}" destId="{66DF2E5F-C2EC-4719-B2D3-FA05D2028765}" srcOrd="1" destOrd="0" presId="urn:microsoft.com/office/officeart/2005/8/layout/orgChart1"/>
    <dgm:cxn modelId="{7C66D02C-EDF2-422A-985B-1B5CBEC0602A}" type="presParOf" srcId="{66DF2E5F-C2EC-4719-B2D3-FA05D2028765}" destId="{2B803AB4-94AF-49BF-9464-8D82B92B689E}" srcOrd="0" destOrd="0" presId="urn:microsoft.com/office/officeart/2005/8/layout/orgChart1"/>
    <dgm:cxn modelId="{6FDDD430-8EED-4556-961F-7326C3208504}" type="presParOf" srcId="{66DF2E5F-C2EC-4719-B2D3-FA05D2028765}" destId="{8B42F663-F469-4D60-907A-124D5EC125D9}" srcOrd="1" destOrd="0" presId="urn:microsoft.com/office/officeart/2005/8/layout/orgChart1"/>
    <dgm:cxn modelId="{B5867D11-6411-4F65-963F-D1F7D71F82D2}" type="presParOf" srcId="{8B42F663-F469-4D60-907A-124D5EC125D9}" destId="{4C11EFD2-4852-4238-8313-9ED8889C87D1}" srcOrd="0" destOrd="0" presId="urn:microsoft.com/office/officeart/2005/8/layout/orgChart1"/>
    <dgm:cxn modelId="{72BD91C7-6C5E-41D2-8126-04E44B8CF7DB}" type="presParOf" srcId="{4C11EFD2-4852-4238-8313-9ED8889C87D1}" destId="{A221875E-BEB0-412B-83BD-9ACF2F94E6ED}" srcOrd="0" destOrd="0" presId="urn:microsoft.com/office/officeart/2005/8/layout/orgChart1"/>
    <dgm:cxn modelId="{9CFC24EC-BE3A-483A-AF40-54634A603DE1}" type="presParOf" srcId="{4C11EFD2-4852-4238-8313-9ED8889C87D1}" destId="{9DB9998C-456C-4DF2-B8E6-DADF77D85F64}" srcOrd="1" destOrd="0" presId="urn:microsoft.com/office/officeart/2005/8/layout/orgChart1"/>
    <dgm:cxn modelId="{A87CFC31-8665-4143-AFC0-DDD5330AB377}" type="presParOf" srcId="{8B42F663-F469-4D60-907A-124D5EC125D9}" destId="{15B5AC3F-3527-4C7F-B4C1-FD28937B7416}" srcOrd="1" destOrd="0" presId="urn:microsoft.com/office/officeart/2005/8/layout/orgChart1"/>
    <dgm:cxn modelId="{09750E38-4FB9-47EC-8003-9E61A129E8CF}" type="presParOf" srcId="{8B42F663-F469-4D60-907A-124D5EC125D9}" destId="{785D9BED-A57F-44DC-BF6A-A39E27C927EF}" srcOrd="2" destOrd="0" presId="urn:microsoft.com/office/officeart/2005/8/layout/orgChart1"/>
    <dgm:cxn modelId="{3013186E-1014-41E9-9C36-456D444FE060}" type="presParOf" srcId="{66DF2E5F-C2EC-4719-B2D3-FA05D2028765}" destId="{FF29BCBF-382D-45BF-8DAD-902228E49619}" srcOrd="2" destOrd="0" presId="urn:microsoft.com/office/officeart/2005/8/layout/orgChart1"/>
    <dgm:cxn modelId="{2BCE32E5-FC4D-47FB-B596-28161819ED24}" type="presParOf" srcId="{66DF2E5F-C2EC-4719-B2D3-FA05D2028765}" destId="{73442711-80B9-4925-8718-2D186DFBD916}" srcOrd="3" destOrd="0" presId="urn:microsoft.com/office/officeart/2005/8/layout/orgChart1"/>
    <dgm:cxn modelId="{53E3BA9A-1AB3-4D28-ACE4-59005683E9EF}" type="presParOf" srcId="{73442711-80B9-4925-8718-2D186DFBD916}" destId="{41281267-BF3B-4B7D-B554-92B806FDBFE7}" srcOrd="0" destOrd="0" presId="urn:microsoft.com/office/officeart/2005/8/layout/orgChart1"/>
    <dgm:cxn modelId="{C12A3271-84FC-46B7-91CE-7FDE8F4541C4}" type="presParOf" srcId="{41281267-BF3B-4B7D-B554-92B806FDBFE7}" destId="{B7F7CE28-93D8-4D0C-B266-1B1E6E152D57}" srcOrd="0" destOrd="0" presId="urn:microsoft.com/office/officeart/2005/8/layout/orgChart1"/>
    <dgm:cxn modelId="{A5BABBFC-8F56-4446-9B74-5A93611930AB}" type="presParOf" srcId="{41281267-BF3B-4B7D-B554-92B806FDBFE7}" destId="{65620C0E-BB37-4397-B430-3CC526FE0F7F}" srcOrd="1" destOrd="0" presId="urn:microsoft.com/office/officeart/2005/8/layout/orgChart1"/>
    <dgm:cxn modelId="{78B967DD-1E1C-4DC2-95CE-22888B6AE6AF}" type="presParOf" srcId="{73442711-80B9-4925-8718-2D186DFBD916}" destId="{81EE25E1-A65F-446F-AA95-F0011908DC06}" srcOrd="1" destOrd="0" presId="urn:microsoft.com/office/officeart/2005/8/layout/orgChart1"/>
    <dgm:cxn modelId="{5B837A78-7634-4E49-8ACD-8A8B2B929BF8}" type="presParOf" srcId="{73442711-80B9-4925-8718-2D186DFBD916}" destId="{49A9315D-B2C4-416F-8162-0A0DC51DD9F3}" srcOrd="2" destOrd="0" presId="urn:microsoft.com/office/officeart/2005/8/layout/orgChart1"/>
    <dgm:cxn modelId="{E1B3A5B1-046F-48DC-820A-7E71544EB128}" type="presParOf" srcId="{66DF2E5F-C2EC-4719-B2D3-FA05D2028765}" destId="{2D82E417-4DED-407B-8486-110470703B0D}" srcOrd="4" destOrd="0" presId="urn:microsoft.com/office/officeart/2005/8/layout/orgChart1"/>
    <dgm:cxn modelId="{8E662B5C-99BB-4184-BD15-BA1CDD0F933A}" type="presParOf" srcId="{66DF2E5F-C2EC-4719-B2D3-FA05D2028765}" destId="{033D8F56-46E1-495A-9BD5-3773EF0EBB8C}" srcOrd="5" destOrd="0" presId="urn:microsoft.com/office/officeart/2005/8/layout/orgChart1"/>
    <dgm:cxn modelId="{678ACE80-0A64-4396-A411-1DF664F0ABD4}" type="presParOf" srcId="{033D8F56-46E1-495A-9BD5-3773EF0EBB8C}" destId="{9608D761-0EA2-4267-99C9-3A43D385AA19}" srcOrd="0" destOrd="0" presId="urn:microsoft.com/office/officeart/2005/8/layout/orgChart1"/>
    <dgm:cxn modelId="{F1651AF9-DA8E-4EDB-A61C-54D73C352BD3}" type="presParOf" srcId="{9608D761-0EA2-4267-99C9-3A43D385AA19}" destId="{D7D94867-638A-46B9-AAB6-33C69FB9A1D5}" srcOrd="0" destOrd="0" presId="urn:microsoft.com/office/officeart/2005/8/layout/orgChart1"/>
    <dgm:cxn modelId="{41FEE17D-C700-456F-B839-7EAF8F527F89}" type="presParOf" srcId="{9608D761-0EA2-4267-99C9-3A43D385AA19}" destId="{EC524519-7789-490A-A516-40A4C3C9FF3A}" srcOrd="1" destOrd="0" presId="urn:microsoft.com/office/officeart/2005/8/layout/orgChart1"/>
    <dgm:cxn modelId="{3D474962-2843-45EC-AFB2-6548C85EBB4E}" type="presParOf" srcId="{033D8F56-46E1-495A-9BD5-3773EF0EBB8C}" destId="{D36065FF-1038-4C13-A559-A3DAE8E29360}" srcOrd="1" destOrd="0" presId="urn:microsoft.com/office/officeart/2005/8/layout/orgChart1"/>
    <dgm:cxn modelId="{586AA66F-9834-4DAA-8947-81F35CC69A6D}" type="presParOf" srcId="{033D8F56-46E1-495A-9BD5-3773EF0EBB8C}" destId="{6D094D37-1756-45BC-B0B3-B6C4AD75AFB0}" srcOrd="2" destOrd="0" presId="urn:microsoft.com/office/officeart/2005/8/layout/orgChart1"/>
    <dgm:cxn modelId="{A9364340-A0F4-4016-8A4C-4E42478195D2}" type="presParOf" srcId="{ED59EB73-7D58-4F0D-AD8F-04D39C256DE3}" destId="{B14976C1-246C-49FB-8761-F8B28E53CB8F}"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82E417-4DED-407B-8486-110470703B0D}">
      <dsp:nvSpPr>
        <dsp:cNvPr id="0" name=""/>
        <dsp:cNvSpPr/>
      </dsp:nvSpPr>
      <dsp:spPr>
        <a:xfrm>
          <a:off x="2959099" y="550854"/>
          <a:ext cx="1330890" cy="230981"/>
        </a:xfrm>
        <a:custGeom>
          <a:avLst/>
          <a:gdLst/>
          <a:ahLst/>
          <a:cxnLst/>
          <a:rect l="0" t="0" r="0" b="0"/>
          <a:pathLst>
            <a:path>
              <a:moveTo>
                <a:pt x="0" y="0"/>
              </a:moveTo>
              <a:lnTo>
                <a:pt x="0" y="161383"/>
              </a:lnTo>
              <a:lnTo>
                <a:pt x="1859750" y="161383"/>
              </a:lnTo>
              <a:lnTo>
                <a:pt x="1859750" y="32276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F29BCBF-382D-45BF-8DAD-902228E49619}">
      <dsp:nvSpPr>
        <dsp:cNvPr id="0" name=""/>
        <dsp:cNvSpPr/>
      </dsp:nvSpPr>
      <dsp:spPr>
        <a:xfrm>
          <a:off x="2913379" y="550854"/>
          <a:ext cx="91440" cy="230981"/>
        </a:xfrm>
        <a:custGeom>
          <a:avLst/>
          <a:gdLst/>
          <a:ahLst/>
          <a:cxnLst/>
          <a:rect l="0" t="0" r="0" b="0"/>
          <a:pathLst>
            <a:path>
              <a:moveTo>
                <a:pt x="45720" y="0"/>
              </a:moveTo>
              <a:lnTo>
                <a:pt x="45720" y="32276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B803AB4-94AF-49BF-9464-8D82B92B689E}">
      <dsp:nvSpPr>
        <dsp:cNvPr id="0" name=""/>
        <dsp:cNvSpPr/>
      </dsp:nvSpPr>
      <dsp:spPr>
        <a:xfrm>
          <a:off x="1628209" y="550854"/>
          <a:ext cx="1330890" cy="230981"/>
        </a:xfrm>
        <a:custGeom>
          <a:avLst/>
          <a:gdLst/>
          <a:ahLst/>
          <a:cxnLst/>
          <a:rect l="0" t="0" r="0" b="0"/>
          <a:pathLst>
            <a:path>
              <a:moveTo>
                <a:pt x="1859750" y="0"/>
              </a:moveTo>
              <a:lnTo>
                <a:pt x="1859750" y="161383"/>
              </a:lnTo>
              <a:lnTo>
                <a:pt x="0" y="161383"/>
              </a:lnTo>
              <a:lnTo>
                <a:pt x="0" y="32276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0E1A579-6445-49E7-862D-9E8CBC0B728C}">
      <dsp:nvSpPr>
        <dsp:cNvPr id="0" name=""/>
        <dsp:cNvSpPr/>
      </dsp:nvSpPr>
      <dsp:spPr>
        <a:xfrm>
          <a:off x="2409145" y="899"/>
          <a:ext cx="1099909" cy="5499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endParaRPr lang="x-none" sz="1200" b="0" i="0" u="none" strike="noStrike" kern="1200" baseline="0">
            <a:solidFill>
              <a:sysClr val="window" lastClr="FFFFFF"/>
            </a:solidFill>
            <a:latin typeface="Times New Roman" panose="02020603050405020304" pitchFamily="18" charset="0"/>
            <a:ea typeface="+mn-ea"/>
            <a:cs typeface="Times New Roman" panose="02020603050405020304" pitchFamily="18" charset="0"/>
          </a:endParaRPr>
        </a:p>
        <a:p>
          <a:pPr marR="0" lvl="0" algn="ctr" defTabSz="533400" rtl="0">
            <a:lnSpc>
              <a:spcPct val="90000"/>
            </a:lnSpc>
            <a:spcBef>
              <a:spcPct val="0"/>
            </a:spcBef>
            <a:spcAft>
              <a:spcPct val="35000"/>
            </a:spcAft>
          </a:pPr>
          <a:r>
            <a:rPr lang="en-US" sz="1200" b="1" i="0" u="none" strike="noStrike" kern="1200" baseline="0">
              <a:solidFill>
                <a:sysClr val="window" lastClr="FFFFFF"/>
              </a:solidFill>
              <a:latin typeface="Times New Roman" panose="02020603050405020304" pitchFamily="18" charset="0"/>
              <a:ea typeface="+mn-ea"/>
              <a:cs typeface="Times New Roman" panose="02020603050405020304" pitchFamily="18" charset="0"/>
            </a:rPr>
            <a:t>Potential Interviewee</a:t>
          </a:r>
          <a:endParaRPr lang="x-none"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2409145" y="899"/>
        <a:ext cx="1099909" cy="549954"/>
      </dsp:txXfrm>
    </dsp:sp>
    <dsp:sp modelId="{A221875E-BEB0-412B-83BD-9ACF2F94E6ED}">
      <dsp:nvSpPr>
        <dsp:cNvPr id="0" name=""/>
        <dsp:cNvSpPr/>
      </dsp:nvSpPr>
      <dsp:spPr>
        <a:xfrm>
          <a:off x="1078254" y="781835"/>
          <a:ext cx="1099909" cy="5499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en-US" sz="1200" b="1" i="0" u="none" strike="noStrike" kern="1200" baseline="0">
              <a:solidFill>
                <a:sysClr val="window" lastClr="FFFFFF"/>
              </a:solidFill>
              <a:latin typeface="Times New Roman" panose="02020603050405020304" pitchFamily="18" charset="0"/>
              <a:ea typeface="+mn-ea"/>
              <a:cs typeface="Times New Roman" panose="02020603050405020304" pitchFamily="18" charset="0"/>
            </a:rPr>
            <a:t>Must have experienced the phenomenon</a:t>
          </a:r>
          <a:endParaRPr lang="x-none"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078254" y="781835"/>
        <a:ext cx="1099909" cy="549954"/>
      </dsp:txXfrm>
    </dsp:sp>
    <dsp:sp modelId="{B7F7CE28-93D8-4D0C-B266-1B1E6E152D57}">
      <dsp:nvSpPr>
        <dsp:cNvPr id="0" name=""/>
        <dsp:cNvSpPr/>
      </dsp:nvSpPr>
      <dsp:spPr>
        <a:xfrm>
          <a:off x="2409145" y="781835"/>
          <a:ext cx="1099909" cy="5499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en-US" sz="1200" b="1" i="0" u="none" strike="noStrike" kern="1200" baseline="0">
              <a:solidFill>
                <a:sysClr val="window" lastClr="FFFFFF"/>
              </a:solidFill>
              <a:latin typeface="Times New Roman" panose="02020603050405020304" pitchFamily="18" charset="0"/>
              <a:ea typeface="+mn-ea"/>
              <a:cs typeface="Times New Roman" panose="02020603050405020304" pitchFamily="18" charset="0"/>
            </a:rPr>
            <a:t>Alternatively, is experiencing the phenomenon</a:t>
          </a:r>
          <a:endParaRPr lang="x-none"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2409145" y="781835"/>
        <a:ext cx="1099909" cy="549954"/>
      </dsp:txXfrm>
    </dsp:sp>
    <dsp:sp modelId="{D7D94867-638A-46B9-AAB6-33C69FB9A1D5}">
      <dsp:nvSpPr>
        <dsp:cNvPr id="0" name=""/>
        <dsp:cNvSpPr/>
      </dsp:nvSpPr>
      <dsp:spPr>
        <a:xfrm>
          <a:off x="3740035" y="781835"/>
          <a:ext cx="1099909" cy="549954"/>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en-US" sz="1200" b="1" i="0" u="none" strike="noStrike" kern="1200" baseline="0">
              <a:solidFill>
                <a:sysClr val="window" lastClr="FFFFFF"/>
              </a:solidFill>
              <a:latin typeface="Times New Roman" panose="02020603050405020304" pitchFamily="18" charset="0"/>
              <a:ea typeface="+mn-ea"/>
              <a:cs typeface="Times New Roman" panose="02020603050405020304" pitchFamily="18" charset="0"/>
            </a:rPr>
            <a:t>Consents to participate in the study</a:t>
          </a:r>
          <a:endParaRPr lang="x-none"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3740035" y="781835"/>
        <a:ext cx="1099909" cy="54995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9F8AEBC-788F-429F-9569-4D0E8CB97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402</Pages>
  <Words>95742</Words>
  <Characters>545735</Characters>
  <Application>Microsoft Office Word</Application>
  <DocSecurity>0</DocSecurity>
  <Lines>4547</Lines>
  <Paragraphs>1280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ahmed</dc:creator>
  <cp:keywords/>
  <dc:description/>
  <cp:lastModifiedBy>ali ahmed</cp:lastModifiedBy>
  <cp:revision>8</cp:revision>
  <cp:lastPrinted>2026-07-21T15:51:00Z</cp:lastPrinted>
  <dcterms:created xsi:type="dcterms:W3CDTF">2026-07-21T14:07:00Z</dcterms:created>
  <dcterms:modified xsi:type="dcterms:W3CDTF">2026-09-23T12:15:00Z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fb3f3030-c599-4cae-aa03-c8e375723de1</vt:lpwstr>
  </property>
</Properties>
</file>